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383" w:rsidRPr="00FF60D5" w:rsidRDefault="003C6383" w:rsidP="002574A8">
      <w:pPr>
        <w:spacing w:after="120"/>
        <w:jc w:val="center"/>
        <w:outlineLvl w:val="0"/>
        <w:rPr>
          <w:rFonts w:cs="Arial"/>
          <w:b/>
          <w:bCs/>
          <w:sz w:val="20"/>
          <w:szCs w:val="20"/>
        </w:rPr>
      </w:pPr>
      <w:r w:rsidRPr="00FF60D5">
        <w:rPr>
          <w:rFonts w:cs="Arial"/>
          <w:b/>
          <w:bCs/>
          <w:sz w:val="20"/>
          <w:szCs w:val="20"/>
        </w:rPr>
        <w:t>RESULT OF AGM</w:t>
      </w:r>
    </w:p>
    <w:p w:rsidR="003C6383" w:rsidRPr="00FF60D5" w:rsidRDefault="003C6383" w:rsidP="002574A8">
      <w:pPr>
        <w:spacing w:after="120"/>
        <w:jc w:val="center"/>
        <w:outlineLvl w:val="0"/>
        <w:rPr>
          <w:rFonts w:cs="Arial"/>
          <w:sz w:val="20"/>
          <w:szCs w:val="20"/>
        </w:rPr>
      </w:pPr>
      <w:r w:rsidRPr="00FF60D5">
        <w:rPr>
          <w:rFonts w:cs="Arial"/>
          <w:b/>
          <w:bCs/>
          <w:sz w:val="20"/>
          <w:szCs w:val="20"/>
        </w:rPr>
        <w:t>RESOLUTIONS PASSED AT ANNUAL GENERAL MEETING</w:t>
      </w:r>
    </w:p>
    <w:p w:rsidR="003C6383" w:rsidRPr="00FF60D5" w:rsidRDefault="009405C7">
      <w:pPr>
        <w:jc w:val="center"/>
        <w:rPr>
          <w:rFonts w:cs="Arial"/>
          <w:b/>
          <w:sz w:val="20"/>
          <w:szCs w:val="20"/>
        </w:rPr>
      </w:pPr>
      <w:r>
        <w:rPr>
          <w:rFonts w:cs="Arial"/>
          <w:b/>
          <w:sz w:val="20"/>
          <w:szCs w:val="20"/>
        </w:rPr>
        <w:t>Wednesday 9 May 2018</w:t>
      </w:r>
    </w:p>
    <w:p w:rsidR="003C6383" w:rsidRPr="00FF60D5" w:rsidRDefault="003C6383">
      <w:pPr>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Standard Chartered PLC </w:t>
      </w:r>
      <w:r>
        <w:rPr>
          <w:rFonts w:cs="Arial"/>
          <w:sz w:val="20"/>
          <w:szCs w:val="20"/>
        </w:rPr>
        <w:t xml:space="preserve">(the ‘Company’) </w:t>
      </w:r>
      <w:r w:rsidRPr="00BB71B6">
        <w:rPr>
          <w:rFonts w:cs="Arial"/>
          <w:sz w:val="20"/>
          <w:szCs w:val="20"/>
        </w:rPr>
        <w:t xml:space="preserve">announces the result of voting on the resolutions at its Annual General Meeting (‘AGM’) held on </w:t>
      </w:r>
      <w:r w:rsidR="009405C7">
        <w:rPr>
          <w:rFonts w:cs="Arial"/>
          <w:sz w:val="20"/>
          <w:szCs w:val="20"/>
        </w:rPr>
        <w:t>Wednesday 9</w:t>
      </w:r>
      <w:r>
        <w:rPr>
          <w:rFonts w:cs="Arial"/>
          <w:sz w:val="20"/>
          <w:szCs w:val="20"/>
        </w:rPr>
        <w:t xml:space="preserve"> May 201</w:t>
      </w:r>
      <w:r w:rsidR="009405C7">
        <w:rPr>
          <w:rFonts w:cs="Arial"/>
          <w:sz w:val="20"/>
          <w:szCs w:val="20"/>
        </w:rPr>
        <w:t>8</w:t>
      </w:r>
      <w:r w:rsidRPr="00BB71B6">
        <w:rPr>
          <w:rFonts w:cs="Arial"/>
          <w:sz w:val="20"/>
          <w:szCs w:val="20"/>
        </w:rPr>
        <w:t>, as set out in the AGM notice.</w:t>
      </w:r>
    </w:p>
    <w:p w:rsidR="00C84EF0" w:rsidRDefault="00C84EF0">
      <w:pPr>
        <w:ind w:left="-450" w:right="-604"/>
        <w:jc w:val="both"/>
        <w:rPr>
          <w:rFonts w:cs="Arial"/>
          <w:sz w:val="20"/>
          <w:szCs w:val="20"/>
        </w:rPr>
      </w:pPr>
    </w:p>
    <w:p w:rsidR="00C84EF0" w:rsidRDefault="003C6383">
      <w:pPr>
        <w:ind w:left="-450" w:right="-604"/>
        <w:jc w:val="both"/>
        <w:rPr>
          <w:rFonts w:cs="Arial"/>
          <w:sz w:val="20"/>
          <w:szCs w:val="20"/>
        </w:rPr>
      </w:pPr>
      <w:r w:rsidRPr="00BB71B6">
        <w:rPr>
          <w:rFonts w:cs="Arial"/>
          <w:sz w:val="20"/>
          <w:szCs w:val="20"/>
        </w:rPr>
        <w:t xml:space="preserve">A poll was held on each of the resolutions and was passed by the required majority. </w:t>
      </w:r>
      <w:r w:rsidR="00D53F46" w:rsidRPr="00D53F46">
        <w:rPr>
          <w:rFonts w:cs="Arial"/>
          <w:sz w:val="20"/>
          <w:szCs w:val="20"/>
        </w:rPr>
        <w:t>R</w:t>
      </w:r>
      <w:r w:rsidR="00B912CD">
        <w:rPr>
          <w:rFonts w:cs="Arial"/>
          <w:sz w:val="20"/>
          <w:szCs w:val="20"/>
        </w:rPr>
        <w:t>esolutions 1 to 22</w:t>
      </w:r>
      <w:r w:rsidR="00D53F46">
        <w:rPr>
          <w:rFonts w:cs="Arial"/>
          <w:sz w:val="20"/>
          <w:szCs w:val="20"/>
        </w:rPr>
        <w:t xml:space="preserve"> </w:t>
      </w:r>
      <w:r w:rsidR="002B0765">
        <w:rPr>
          <w:rFonts w:cs="Arial"/>
          <w:sz w:val="20"/>
          <w:szCs w:val="20"/>
        </w:rPr>
        <w:t xml:space="preserve">were passed </w:t>
      </w:r>
      <w:r w:rsidR="00D53F46">
        <w:rPr>
          <w:rFonts w:cs="Arial"/>
          <w:sz w:val="20"/>
          <w:szCs w:val="20"/>
        </w:rPr>
        <w:t>as ordinary</w:t>
      </w:r>
      <w:r w:rsidR="00B912CD">
        <w:rPr>
          <w:rFonts w:cs="Arial"/>
          <w:sz w:val="20"/>
          <w:szCs w:val="20"/>
        </w:rPr>
        <w:t xml:space="preserve"> resolutions, and resolutions 23</w:t>
      </w:r>
      <w:r w:rsidR="00F77FC7">
        <w:rPr>
          <w:rFonts w:cs="Arial"/>
          <w:sz w:val="20"/>
          <w:szCs w:val="20"/>
        </w:rPr>
        <w:t xml:space="preserve"> to 28</w:t>
      </w:r>
      <w:r w:rsidR="00D53F46">
        <w:rPr>
          <w:rFonts w:cs="Arial"/>
          <w:sz w:val="20"/>
          <w:szCs w:val="20"/>
        </w:rPr>
        <w:t xml:space="preserve"> </w:t>
      </w:r>
      <w:r w:rsidR="002B0765">
        <w:rPr>
          <w:rFonts w:cs="Arial"/>
          <w:sz w:val="20"/>
          <w:szCs w:val="20"/>
        </w:rPr>
        <w:t xml:space="preserve">were passed </w:t>
      </w:r>
      <w:r w:rsidR="00D53F46" w:rsidRPr="00D53F46">
        <w:rPr>
          <w:rFonts w:cs="Arial"/>
          <w:sz w:val="20"/>
          <w:szCs w:val="20"/>
        </w:rPr>
        <w:t xml:space="preserve">as special resolutions. </w:t>
      </w:r>
      <w:r w:rsidR="00D53F46">
        <w:rPr>
          <w:rFonts w:cs="Arial"/>
          <w:sz w:val="20"/>
          <w:szCs w:val="20"/>
        </w:rPr>
        <w:t>T</w:t>
      </w:r>
      <w:r w:rsidR="00D53F46" w:rsidRPr="00BB71B6">
        <w:rPr>
          <w:rFonts w:cs="Arial"/>
          <w:sz w:val="20"/>
          <w:szCs w:val="20"/>
        </w:rPr>
        <w:t>he results of the poll were as follows:</w:t>
      </w:r>
    </w:p>
    <w:p w:rsidR="003C6383" w:rsidRPr="00BB71B6" w:rsidRDefault="003C6383">
      <w:pPr>
        <w:rPr>
          <w:rFonts w:cs="Arial"/>
          <w:sz w:val="20"/>
          <w:szCs w:val="20"/>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7"/>
        <w:gridCol w:w="1356"/>
        <w:gridCol w:w="737"/>
        <w:gridCol w:w="1247"/>
        <w:gridCol w:w="567"/>
        <w:gridCol w:w="1276"/>
        <w:gridCol w:w="1276"/>
        <w:gridCol w:w="992"/>
      </w:tblGrid>
      <w:tr w:rsidR="00591B42" w:rsidRPr="001E584B" w:rsidTr="00A66F85">
        <w:trPr>
          <w:cantSplit/>
          <w:trHeight w:val="145"/>
        </w:trPr>
        <w:tc>
          <w:tcPr>
            <w:tcW w:w="2897" w:type="dxa"/>
            <w:vAlign w:val="center"/>
          </w:tcPr>
          <w:p w:rsidR="00D16440" w:rsidRPr="001E584B" w:rsidRDefault="00D16440" w:rsidP="00094155">
            <w:pPr>
              <w:pStyle w:val="Header"/>
              <w:tabs>
                <w:tab w:val="clear" w:pos="4153"/>
                <w:tab w:val="clear" w:pos="8306"/>
                <w:tab w:val="left" w:pos="540"/>
              </w:tabs>
              <w:spacing w:before="40" w:after="160"/>
              <w:jc w:val="center"/>
              <w:rPr>
                <w:rFonts w:cs="Arial"/>
                <w:b/>
                <w:sz w:val="20"/>
                <w:szCs w:val="20"/>
              </w:rPr>
            </w:pPr>
            <w:r w:rsidRPr="001E584B">
              <w:rPr>
                <w:rFonts w:cs="Arial"/>
                <w:b/>
                <w:sz w:val="20"/>
                <w:szCs w:val="20"/>
              </w:rPr>
              <w:t>Resolution</w:t>
            </w:r>
          </w:p>
        </w:tc>
        <w:tc>
          <w:tcPr>
            <w:tcW w:w="1356" w:type="dxa"/>
            <w:vAlign w:val="center"/>
          </w:tcPr>
          <w:p w:rsidR="00D16440" w:rsidRPr="001E584B" w:rsidRDefault="00D16440" w:rsidP="00094155">
            <w:pPr>
              <w:spacing w:before="40" w:after="160"/>
              <w:ind w:left="-75" w:right="34"/>
              <w:jc w:val="center"/>
              <w:rPr>
                <w:rFonts w:cs="Arial"/>
                <w:b/>
                <w:sz w:val="20"/>
                <w:szCs w:val="20"/>
              </w:rPr>
            </w:pPr>
            <w:r w:rsidRPr="001E584B">
              <w:rPr>
                <w:rFonts w:cs="Arial"/>
                <w:b/>
                <w:sz w:val="20"/>
                <w:szCs w:val="20"/>
              </w:rPr>
              <w:t>Votes For</w:t>
            </w:r>
          </w:p>
        </w:tc>
        <w:tc>
          <w:tcPr>
            <w:tcW w:w="73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47" w:type="dxa"/>
            <w:vAlign w:val="center"/>
          </w:tcPr>
          <w:p w:rsidR="00D16440" w:rsidRPr="001E584B" w:rsidRDefault="00D16440" w:rsidP="00094155">
            <w:pPr>
              <w:spacing w:before="40" w:after="160"/>
              <w:ind w:left="-108" w:right="34"/>
              <w:jc w:val="center"/>
              <w:rPr>
                <w:rFonts w:cs="Arial"/>
                <w:b/>
                <w:sz w:val="20"/>
                <w:szCs w:val="20"/>
              </w:rPr>
            </w:pPr>
            <w:r w:rsidRPr="001E584B">
              <w:rPr>
                <w:rFonts w:cs="Arial"/>
                <w:b/>
                <w:sz w:val="20"/>
                <w:szCs w:val="20"/>
              </w:rPr>
              <w:t>Votes Against</w:t>
            </w:r>
          </w:p>
        </w:tc>
        <w:tc>
          <w:tcPr>
            <w:tcW w:w="567" w:type="dxa"/>
            <w:vAlign w:val="center"/>
          </w:tcPr>
          <w:p w:rsidR="00D16440" w:rsidRPr="001E584B" w:rsidRDefault="00D16440" w:rsidP="00094155">
            <w:pPr>
              <w:spacing w:before="40" w:after="160"/>
              <w:ind w:left="-108" w:right="-108"/>
              <w:jc w:val="center"/>
              <w:rPr>
                <w:rFonts w:cs="Arial"/>
                <w:b/>
                <w:sz w:val="20"/>
                <w:szCs w:val="20"/>
              </w:rPr>
            </w:pPr>
            <w:r w:rsidRPr="001E584B">
              <w:rPr>
                <w:rFonts w:cs="Arial"/>
                <w:b/>
                <w:sz w:val="20"/>
                <w:szCs w:val="20"/>
              </w:rPr>
              <w:t>%</w:t>
            </w:r>
          </w:p>
        </w:tc>
        <w:tc>
          <w:tcPr>
            <w:tcW w:w="1276" w:type="dxa"/>
          </w:tcPr>
          <w:p w:rsidR="00B72414" w:rsidRDefault="00D16440" w:rsidP="00094155">
            <w:pPr>
              <w:spacing w:before="40" w:after="160"/>
              <w:ind w:left="-108"/>
              <w:jc w:val="center"/>
              <w:rPr>
                <w:rFonts w:cs="Arial"/>
                <w:b/>
                <w:sz w:val="20"/>
                <w:szCs w:val="20"/>
              </w:rPr>
            </w:pPr>
            <w:r>
              <w:rPr>
                <w:rFonts w:cs="Arial"/>
                <w:b/>
                <w:sz w:val="20"/>
                <w:szCs w:val="20"/>
              </w:rPr>
              <w:t xml:space="preserve">Votes </w:t>
            </w:r>
            <w:r w:rsidR="00791E0C">
              <w:rPr>
                <w:rFonts w:cs="Arial"/>
                <w:b/>
                <w:sz w:val="20"/>
                <w:szCs w:val="20"/>
              </w:rPr>
              <w:t>W</w:t>
            </w:r>
            <w:r>
              <w:rPr>
                <w:rFonts w:cs="Arial"/>
                <w:b/>
                <w:sz w:val="20"/>
                <w:szCs w:val="20"/>
              </w:rPr>
              <w:t>ithheld</w:t>
            </w:r>
          </w:p>
        </w:tc>
        <w:tc>
          <w:tcPr>
            <w:tcW w:w="1276" w:type="dxa"/>
            <w:vAlign w:val="center"/>
          </w:tcPr>
          <w:p w:rsidR="00D16440" w:rsidRPr="001E584B" w:rsidRDefault="00D16440" w:rsidP="00094155">
            <w:pPr>
              <w:spacing w:before="40" w:after="160"/>
              <w:jc w:val="center"/>
              <w:rPr>
                <w:rFonts w:cs="Arial"/>
                <w:b/>
                <w:sz w:val="20"/>
                <w:szCs w:val="20"/>
              </w:rPr>
            </w:pPr>
            <w:r>
              <w:rPr>
                <w:rFonts w:cs="Arial"/>
                <w:b/>
                <w:sz w:val="20"/>
                <w:szCs w:val="20"/>
              </w:rPr>
              <w:t>Total Votes</w:t>
            </w:r>
          </w:p>
        </w:tc>
        <w:tc>
          <w:tcPr>
            <w:tcW w:w="992" w:type="dxa"/>
          </w:tcPr>
          <w:p w:rsidR="00B72414" w:rsidRDefault="00D16440" w:rsidP="00094155">
            <w:pPr>
              <w:spacing w:before="40" w:after="160"/>
              <w:jc w:val="center"/>
              <w:rPr>
                <w:rFonts w:cs="Arial"/>
                <w:b/>
                <w:sz w:val="20"/>
                <w:szCs w:val="20"/>
              </w:rPr>
            </w:pPr>
            <w:r>
              <w:rPr>
                <w:rFonts w:cs="Arial"/>
                <w:b/>
                <w:sz w:val="20"/>
                <w:szCs w:val="20"/>
              </w:rPr>
              <w:t>% of ISC voted</w:t>
            </w:r>
          </w:p>
        </w:tc>
      </w:tr>
      <w:tr w:rsidR="00A118C2" w:rsidRPr="001E584B" w:rsidTr="005B4B92">
        <w:trPr>
          <w:cantSplit/>
          <w:trHeight w:val="341"/>
        </w:trPr>
        <w:tc>
          <w:tcPr>
            <w:tcW w:w="2897" w:type="dxa"/>
          </w:tcPr>
          <w:p w:rsidR="00A118C2" w:rsidRPr="00A63C06" w:rsidRDefault="00A118C2" w:rsidP="00A118C2">
            <w:pPr>
              <w:autoSpaceDE w:val="0"/>
              <w:autoSpaceDN w:val="0"/>
              <w:adjustRightInd w:val="0"/>
              <w:rPr>
                <w:rFonts w:cs="Arial"/>
                <w:sz w:val="18"/>
                <w:szCs w:val="18"/>
                <w:lang w:eastAsia="en-GB"/>
              </w:rPr>
            </w:pPr>
            <w:r w:rsidRPr="00A63C06">
              <w:rPr>
                <w:rFonts w:cs="Arial"/>
                <w:b/>
                <w:bCs/>
                <w:sz w:val="18"/>
                <w:szCs w:val="18"/>
                <w:lang w:eastAsia="en-GB"/>
              </w:rPr>
              <w:t xml:space="preserve">1. </w:t>
            </w:r>
            <w:r w:rsidRPr="00A63C06">
              <w:rPr>
                <w:rFonts w:cs="Arial"/>
                <w:sz w:val="18"/>
                <w:szCs w:val="18"/>
                <w:lang w:eastAsia="en-GB"/>
              </w:rPr>
              <w:t>To receive the Company’s annual report and accounts for the finan</w:t>
            </w:r>
            <w:r>
              <w:rPr>
                <w:rFonts w:cs="Arial"/>
                <w:sz w:val="18"/>
                <w:szCs w:val="18"/>
                <w:lang w:eastAsia="en-GB"/>
              </w:rPr>
              <w:t>cial year ended 31 December 2017</w:t>
            </w:r>
            <w:r w:rsidRPr="00A63C06">
              <w:rPr>
                <w:rFonts w:cs="Arial"/>
                <w:sz w:val="18"/>
                <w:szCs w:val="18"/>
                <w:lang w:eastAsia="en-GB"/>
              </w:rPr>
              <w:t xml:space="preserve"> together with the reports of the directors and auditors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661,150,023</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99.89</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728,956</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0.11</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1,256,354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661,878,979</w:t>
            </w:r>
          </w:p>
        </w:tc>
        <w:tc>
          <w:tcPr>
            <w:tcW w:w="992" w:type="dxa"/>
          </w:tcPr>
          <w:p w:rsidR="00A118C2" w:rsidRPr="005B4B92" w:rsidRDefault="00A118C2" w:rsidP="00A118C2">
            <w:pPr>
              <w:ind w:left="-75"/>
              <w:rPr>
                <w:rFonts w:cs="Arial"/>
                <w:sz w:val="18"/>
                <w:szCs w:val="18"/>
              </w:rPr>
            </w:pPr>
            <w:r w:rsidRPr="005B4B92">
              <w:rPr>
                <w:rFonts w:cs="Arial"/>
                <w:sz w:val="18"/>
                <w:szCs w:val="18"/>
              </w:rPr>
              <w:t>80.17</w:t>
            </w:r>
          </w:p>
        </w:tc>
      </w:tr>
      <w:tr w:rsidR="00A118C2" w:rsidRPr="001E584B" w:rsidTr="005B4B92">
        <w:trPr>
          <w:cantSplit/>
          <w:trHeight w:val="341"/>
        </w:trPr>
        <w:tc>
          <w:tcPr>
            <w:tcW w:w="2897" w:type="dxa"/>
          </w:tcPr>
          <w:p w:rsidR="00A118C2" w:rsidRPr="009405C7" w:rsidRDefault="00A118C2" w:rsidP="00A118C2">
            <w:pPr>
              <w:autoSpaceDE w:val="0"/>
              <w:autoSpaceDN w:val="0"/>
              <w:adjustRightInd w:val="0"/>
              <w:rPr>
                <w:rFonts w:cs="Arial"/>
                <w:bCs/>
                <w:sz w:val="18"/>
                <w:szCs w:val="18"/>
                <w:lang w:eastAsia="en-GB"/>
              </w:rPr>
            </w:pPr>
            <w:r>
              <w:rPr>
                <w:rFonts w:cs="Arial"/>
                <w:b/>
                <w:bCs/>
                <w:sz w:val="18"/>
                <w:szCs w:val="18"/>
                <w:lang w:eastAsia="en-GB"/>
              </w:rPr>
              <w:t xml:space="preserve">2. </w:t>
            </w:r>
            <w:r>
              <w:rPr>
                <w:rFonts w:cs="Arial"/>
                <w:bCs/>
                <w:sz w:val="18"/>
                <w:szCs w:val="18"/>
                <w:lang w:eastAsia="en-GB"/>
              </w:rPr>
              <w:t>To declare a final dividend of 11 US cents per ordinary share for the year ended 31 December 2017</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662,583,671</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99.94</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411,726</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0.06</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139,722</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662,995,397</w:t>
            </w:r>
          </w:p>
        </w:tc>
        <w:tc>
          <w:tcPr>
            <w:tcW w:w="992" w:type="dxa"/>
          </w:tcPr>
          <w:p w:rsidR="00A118C2" w:rsidRPr="005B4B92" w:rsidRDefault="00A118C2" w:rsidP="00A118C2">
            <w:pPr>
              <w:ind w:left="-75"/>
              <w:rPr>
                <w:rFonts w:cs="Arial"/>
                <w:sz w:val="18"/>
                <w:szCs w:val="18"/>
              </w:rPr>
            </w:pPr>
            <w:r w:rsidRPr="005B4B92">
              <w:rPr>
                <w:rFonts w:cs="Arial"/>
                <w:sz w:val="18"/>
                <w:szCs w:val="18"/>
              </w:rPr>
              <w:t>80.31</w:t>
            </w:r>
          </w:p>
        </w:tc>
      </w:tr>
      <w:tr w:rsidR="00A118C2" w:rsidRPr="001E584B" w:rsidTr="005B4B92">
        <w:trPr>
          <w:cantSplit/>
          <w:trHeight w:val="341"/>
        </w:trPr>
        <w:tc>
          <w:tcPr>
            <w:tcW w:w="2897" w:type="dxa"/>
          </w:tcPr>
          <w:p w:rsidR="00A118C2" w:rsidRPr="00A63C06" w:rsidRDefault="00A118C2" w:rsidP="00A118C2">
            <w:pPr>
              <w:autoSpaceDE w:val="0"/>
              <w:autoSpaceDN w:val="0"/>
              <w:adjustRightInd w:val="0"/>
              <w:rPr>
                <w:rFonts w:cs="Arial"/>
                <w:sz w:val="18"/>
                <w:szCs w:val="18"/>
              </w:rPr>
            </w:pPr>
            <w:r>
              <w:rPr>
                <w:rFonts w:cs="Arial"/>
                <w:b/>
                <w:bCs/>
                <w:sz w:val="18"/>
                <w:szCs w:val="18"/>
                <w:lang w:eastAsia="en-GB"/>
              </w:rPr>
              <w:t>3</w:t>
            </w:r>
            <w:r w:rsidRPr="00A63C06">
              <w:rPr>
                <w:rFonts w:cs="Arial"/>
                <w:b/>
                <w:bCs/>
                <w:sz w:val="18"/>
                <w:szCs w:val="18"/>
                <w:lang w:eastAsia="en-GB"/>
              </w:rPr>
              <w:t xml:space="preserve">. </w:t>
            </w:r>
            <w:r w:rsidRPr="00A63C06">
              <w:rPr>
                <w:rFonts w:cs="Arial"/>
                <w:sz w:val="18"/>
                <w:szCs w:val="18"/>
              </w:rPr>
              <w:t>To approve the annual report on remuneration for</w:t>
            </w:r>
            <w:r>
              <w:rPr>
                <w:rFonts w:cs="Arial"/>
                <w:sz w:val="18"/>
                <w:szCs w:val="18"/>
              </w:rPr>
              <w:t xml:space="preserve"> the year ended 31 December 2017</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629,891,075</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96.66</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21,735,458</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3.34</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11,506,710</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651,626,533</w:t>
            </w:r>
          </w:p>
        </w:tc>
        <w:tc>
          <w:tcPr>
            <w:tcW w:w="992" w:type="dxa"/>
          </w:tcPr>
          <w:p w:rsidR="00A118C2" w:rsidRPr="005B4B92" w:rsidRDefault="00A118C2" w:rsidP="00A118C2">
            <w:pPr>
              <w:ind w:left="-75"/>
              <w:rPr>
                <w:rFonts w:cs="Arial"/>
                <w:sz w:val="18"/>
                <w:szCs w:val="18"/>
              </w:rPr>
            </w:pPr>
            <w:r w:rsidRPr="005B4B92">
              <w:rPr>
                <w:rFonts w:cs="Arial"/>
                <w:sz w:val="18"/>
                <w:szCs w:val="18"/>
              </w:rPr>
              <w:t>78.93</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4</w:t>
            </w:r>
            <w:r w:rsidRPr="00A63C06">
              <w:rPr>
                <w:rFonts w:cs="Arial"/>
                <w:sz w:val="18"/>
                <w:szCs w:val="18"/>
              </w:rPr>
              <w:t xml:space="preserve">. </w:t>
            </w:r>
            <w:r w:rsidRPr="00F02F48">
              <w:rPr>
                <w:rFonts w:cs="Arial"/>
                <w:sz w:val="18"/>
                <w:szCs w:val="18"/>
              </w:rPr>
              <w:t xml:space="preserve">To elect </w:t>
            </w:r>
            <w:r>
              <w:rPr>
                <w:rFonts w:cs="Arial"/>
                <w:sz w:val="18"/>
                <w:szCs w:val="18"/>
              </w:rPr>
              <w:t>Dr Ngozi Okonjo-Iweala,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662,612,450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99.95</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338,750</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0.05</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184,953</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662,951,200</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5</w:t>
            </w:r>
            <w:r w:rsidRPr="00A63C06">
              <w:rPr>
                <w:rFonts w:cs="Arial"/>
                <w:b/>
                <w:sz w:val="18"/>
                <w:szCs w:val="18"/>
              </w:rPr>
              <w:t>.</w:t>
            </w:r>
            <w:r>
              <w:rPr>
                <w:rFonts w:cs="Arial"/>
                <w:sz w:val="18"/>
                <w:szCs w:val="18"/>
              </w:rPr>
              <w:t xml:space="preserve"> To re-elect Om Bhatt, a</w:t>
            </w:r>
            <w:r w:rsidRPr="00A63C06">
              <w:rPr>
                <w:rFonts w:cs="Arial"/>
                <w:sz w:val="18"/>
                <w:szCs w:val="18"/>
              </w:rPr>
              <w:t xml:space="preserve"> </w:t>
            </w:r>
            <w:r>
              <w:rPr>
                <w:rFonts w:cs="Arial"/>
                <w:sz w:val="18"/>
                <w:szCs w:val="18"/>
              </w:rPr>
              <w:t>non-</w:t>
            </w:r>
            <w:r w:rsidRPr="00A63C06">
              <w:rPr>
                <w:rFonts w:cs="Arial"/>
                <w:sz w:val="18"/>
                <w:szCs w:val="18"/>
              </w:rPr>
              <w:t>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631,960,516</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96.40</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23,571,665</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3.60</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7,604,135</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655,532,181</w:t>
            </w:r>
          </w:p>
        </w:tc>
        <w:tc>
          <w:tcPr>
            <w:tcW w:w="992" w:type="dxa"/>
          </w:tcPr>
          <w:p w:rsidR="00A118C2" w:rsidRPr="005B4B92" w:rsidRDefault="00A118C2" w:rsidP="00A118C2">
            <w:pPr>
              <w:ind w:left="-75"/>
              <w:rPr>
                <w:rFonts w:cs="Arial"/>
                <w:sz w:val="18"/>
                <w:szCs w:val="18"/>
              </w:rPr>
            </w:pPr>
            <w:r w:rsidRPr="005B4B92">
              <w:rPr>
                <w:rFonts w:cs="Arial"/>
                <w:sz w:val="18"/>
                <w:szCs w:val="18"/>
              </w:rPr>
              <w:t>79.40</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6</w:t>
            </w:r>
            <w:r w:rsidRPr="00A63C06">
              <w:rPr>
                <w:rFonts w:cs="Arial"/>
                <w:b/>
                <w:sz w:val="18"/>
                <w:szCs w:val="18"/>
              </w:rPr>
              <w:t>.</w:t>
            </w:r>
            <w:r w:rsidRPr="00A63C06">
              <w:rPr>
                <w:rFonts w:cs="Arial"/>
                <w:sz w:val="18"/>
                <w:szCs w:val="18"/>
              </w:rPr>
              <w:t xml:space="preserve"> To re-elect </w:t>
            </w:r>
            <w:r>
              <w:rPr>
                <w:rFonts w:cs="Arial"/>
                <w:sz w:val="18"/>
                <w:szCs w:val="18"/>
              </w:rPr>
              <w:t>Dr Louis Cheung</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657,177,750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99.13</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5,779,746</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0.87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178,821</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662,957,496</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Default="00A118C2" w:rsidP="00A118C2">
            <w:pPr>
              <w:rPr>
                <w:rFonts w:cs="Arial"/>
                <w:b/>
                <w:sz w:val="18"/>
                <w:szCs w:val="18"/>
              </w:rPr>
            </w:pPr>
            <w:r>
              <w:rPr>
                <w:rFonts w:cs="Arial"/>
                <w:b/>
                <w:sz w:val="18"/>
                <w:szCs w:val="18"/>
              </w:rPr>
              <w:t>7</w:t>
            </w:r>
            <w:r w:rsidRPr="00A63C06">
              <w:rPr>
                <w:rFonts w:cs="Arial"/>
                <w:b/>
                <w:sz w:val="18"/>
                <w:szCs w:val="18"/>
              </w:rPr>
              <w:t>.</w:t>
            </w:r>
            <w:r w:rsidRPr="00A63C06">
              <w:rPr>
                <w:rFonts w:cs="Arial"/>
                <w:sz w:val="18"/>
                <w:szCs w:val="18"/>
              </w:rPr>
              <w:t xml:space="preserve"> To re-elect </w:t>
            </w:r>
            <w:r>
              <w:rPr>
                <w:rFonts w:cs="Arial"/>
                <w:sz w:val="18"/>
                <w:szCs w:val="18"/>
              </w:rPr>
              <w:t>David Conner</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660,552,911</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99.64</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2,406,435</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0.36</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176,974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662,959,346</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Default="00A118C2" w:rsidP="00A118C2">
            <w:pPr>
              <w:rPr>
                <w:rFonts w:cs="Arial"/>
                <w:b/>
                <w:sz w:val="18"/>
                <w:szCs w:val="18"/>
              </w:rPr>
            </w:pPr>
            <w:r>
              <w:rPr>
                <w:rFonts w:cs="Arial"/>
                <w:b/>
                <w:sz w:val="18"/>
                <w:szCs w:val="18"/>
              </w:rPr>
              <w:t>8</w:t>
            </w:r>
            <w:r w:rsidRPr="00A63C06">
              <w:rPr>
                <w:rFonts w:cs="Arial"/>
                <w:b/>
                <w:sz w:val="18"/>
                <w:szCs w:val="18"/>
              </w:rPr>
              <w:t>.</w:t>
            </w:r>
            <w:r w:rsidRPr="00A63C06">
              <w:rPr>
                <w:rFonts w:cs="Arial"/>
                <w:sz w:val="18"/>
                <w:szCs w:val="18"/>
              </w:rPr>
              <w:t xml:space="preserve"> To re-elect </w:t>
            </w:r>
            <w:r>
              <w:rPr>
                <w:rFonts w:cs="Arial"/>
                <w:sz w:val="18"/>
                <w:szCs w:val="18"/>
              </w:rPr>
              <w:t>Dr Byron Grote</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657,096,187</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99.11</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5,871,931</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0.89</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168,204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662,968,118</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Default="00A118C2" w:rsidP="00A118C2">
            <w:pPr>
              <w:rPr>
                <w:rFonts w:cs="Arial"/>
                <w:b/>
                <w:sz w:val="18"/>
                <w:szCs w:val="18"/>
              </w:rPr>
            </w:pPr>
            <w:r>
              <w:rPr>
                <w:rFonts w:cs="Arial"/>
                <w:b/>
                <w:sz w:val="18"/>
                <w:szCs w:val="18"/>
              </w:rPr>
              <w:t>9</w:t>
            </w:r>
            <w:r w:rsidRPr="00A63C06">
              <w:rPr>
                <w:rFonts w:cs="Arial"/>
                <w:b/>
                <w:sz w:val="18"/>
                <w:szCs w:val="18"/>
              </w:rPr>
              <w:t>.</w:t>
            </w:r>
            <w:r w:rsidRPr="00A63C06">
              <w:rPr>
                <w:rFonts w:cs="Arial"/>
                <w:sz w:val="18"/>
                <w:szCs w:val="18"/>
              </w:rPr>
              <w:t xml:space="preserve"> </w:t>
            </w:r>
            <w:r w:rsidRPr="00F77FC7">
              <w:rPr>
                <w:rFonts w:cs="Arial"/>
                <w:sz w:val="18"/>
                <w:szCs w:val="18"/>
              </w:rPr>
              <w:t>To re-elect Andy Halford, an 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658,478,236</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99.32</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4,489,530</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0.68</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168,631</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662,967,766</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10</w:t>
            </w:r>
            <w:r w:rsidRPr="00A63C06">
              <w:rPr>
                <w:rFonts w:cs="Arial"/>
                <w:b/>
                <w:sz w:val="18"/>
                <w:szCs w:val="18"/>
              </w:rPr>
              <w:t>.</w:t>
            </w:r>
            <w:r w:rsidRPr="00A63C06">
              <w:rPr>
                <w:rFonts w:cs="Arial"/>
                <w:sz w:val="18"/>
                <w:szCs w:val="18"/>
              </w:rPr>
              <w:t xml:space="preserve"> To re-elect </w:t>
            </w:r>
            <w:r>
              <w:rPr>
                <w:rFonts w:cs="Arial"/>
                <w:sz w:val="18"/>
                <w:szCs w:val="18"/>
              </w:rPr>
              <w:t>Dr Han Seung-soo, KBE</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660,537,618</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99.63</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2,430,953</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0.37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167,624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662,968,571</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11</w:t>
            </w:r>
            <w:r w:rsidRPr="00A63C06">
              <w:rPr>
                <w:rFonts w:cs="Arial"/>
                <w:b/>
                <w:sz w:val="18"/>
                <w:szCs w:val="18"/>
              </w:rPr>
              <w:t>.</w:t>
            </w:r>
            <w:r w:rsidRPr="00A63C06">
              <w:rPr>
                <w:rFonts w:cs="Arial"/>
                <w:sz w:val="18"/>
                <w:szCs w:val="18"/>
              </w:rPr>
              <w:t xml:space="preserve"> To re-elect </w:t>
            </w:r>
            <w:r>
              <w:rPr>
                <w:rFonts w:cs="Arial"/>
                <w:sz w:val="18"/>
                <w:szCs w:val="18"/>
              </w:rPr>
              <w:t>Christine Hodgson</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646,667,550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98.60</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9,180,551</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1.40</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7,288,089</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655,848,101</w:t>
            </w:r>
          </w:p>
        </w:tc>
        <w:tc>
          <w:tcPr>
            <w:tcW w:w="992" w:type="dxa"/>
          </w:tcPr>
          <w:p w:rsidR="00A118C2" w:rsidRPr="005B4B92" w:rsidRDefault="00A118C2" w:rsidP="00A118C2">
            <w:pPr>
              <w:ind w:left="-75"/>
              <w:rPr>
                <w:rFonts w:cs="Arial"/>
                <w:sz w:val="18"/>
                <w:szCs w:val="18"/>
              </w:rPr>
            </w:pPr>
            <w:r w:rsidRPr="005B4B92">
              <w:rPr>
                <w:rFonts w:cs="Arial"/>
                <w:sz w:val="18"/>
                <w:szCs w:val="18"/>
              </w:rPr>
              <w:t>79.44</w:t>
            </w:r>
          </w:p>
        </w:tc>
      </w:tr>
      <w:tr w:rsidR="00A118C2" w:rsidRPr="001E584B" w:rsidTr="005B4B92">
        <w:trPr>
          <w:cantSplit/>
          <w:trHeight w:val="341"/>
        </w:trPr>
        <w:tc>
          <w:tcPr>
            <w:tcW w:w="2897" w:type="dxa"/>
          </w:tcPr>
          <w:p w:rsidR="00A118C2" w:rsidRPr="00F77FC7" w:rsidRDefault="00A118C2" w:rsidP="00A118C2">
            <w:pPr>
              <w:rPr>
                <w:rFonts w:cs="Arial"/>
                <w:sz w:val="18"/>
                <w:szCs w:val="18"/>
              </w:rPr>
            </w:pPr>
            <w:r>
              <w:rPr>
                <w:rFonts w:cs="Arial"/>
                <w:b/>
                <w:sz w:val="18"/>
                <w:szCs w:val="18"/>
              </w:rPr>
              <w:t>12</w:t>
            </w:r>
            <w:r w:rsidRPr="00A63C06">
              <w:rPr>
                <w:rFonts w:cs="Arial"/>
                <w:b/>
                <w:sz w:val="18"/>
                <w:szCs w:val="18"/>
              </w:rPr>
              <w:t>.</w:t>
            </w:r>
            <w:r w:rsidRPr="00A63C06">
              <w:rPr>
                <w:rFonts w:cs="Arial"/>
                <w:sz w:val="18"/>
                <w:szCs w:val="18"/>
              </w:rPr>
              <w:t xml:space="preserve"> </w:t>
            </w:r>
            <w:r w:rsidRPr="00F77FC7">
              <w:rPr>
                <w:rFonts w:cs="Arial"/>
                <w:sz w:val="18"/>
                <w:szCs w:val="18"/>
              </w:rPr>
              <w:t>T</w:t>
            </w:r>
            <w:r>
              <w:rPr>
                <w:rFonts w:cs="Arial"/>
                <w:sz w:val="18"/>
                <w:szCs w:val="18"/>
              </w:rPr>
              <w:t xml:space="preserve">o re-elect Gay Huey Evans, OBE, </w:t>
            </w:r>
            <w:r w:rsidRPr="00F77FC7">
              <w:rPr>
                <w:rFonts w:cs="Arial"/>
                <w:sz w:val="18"/>
                <w:szCs w:val="18"/>
              </w:rPr>
              <w:t>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662,063,204</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99.86</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903,453</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0.14</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169,253</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662,966,657</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Pr="00A63C06" w:rsidRDefault="00A118C2" w:rsidP="00A118C2">
            <w:pPr>
              <w:rPr>
                <w:rFonts w:cs="Arial"/>
                <w:sz w:val="18"/>
                <w:szCs w:val="18"/>
              </w:rPr>
            </w:pPr>
            <w:r>
              <w:rPr>
                <w:rFonts w:cs="Arial"/>
                <w:b/>
                <w:sz w:val="18"/>
                <w:szCs w:val="18"/>
              </w:rPr>
              <w:t>13</w:t>
            </w:r>
            <w:r w:rsidRPr="00A63C06">
              <w:rPr>
                <w:rFonts w:cs="Arial"/>
                <w:b/>
                <w:sz w:val="18"/>
                <w:szCs w:val="18"/>
              </w:rPr>
              <w:t>.</w:t>
            </w:r>
            <w:r w:rsidRPr="00A63C06">
              <w:rPr>
                <w:rFonts w:cs="Arial"/>
                <w:sz w:val="18"/>
                <w:szCs w:val="18"/>
              </w:rPr>
              <w:t xml:space="preserve"> To re-elect </w:t>
            </w:r>
            <w:r>
              <w:rPr>
                <w:rFonts w:cs="Arial"/>
                <w:sz w:val="18"/>
                <w:szCs w:val="18"/>
              </w:rPr>
              <w:t>Naguib Kheraj</w:t>
            </w:r>
            <w:r w:rsidRPr="00A63C06">
              <w:rPr>
                <w:rFonts w:cs="Arial"/>
                <w:sz w:val="18"/>
                <w:szCs w:val="18"/>
              </w:rPr>
              <w:t>, 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659,163,289</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rPr>
            </w:pPr>
            <w:r w:rsidRPr="00CA3791">
              <w:rPr>
                <w:rFonts w:cs="Arial"/>
                <w:sz w:val="18"/>
                <w:szCs w:val="18"/>
              </w:rPr>
              <w:t>99.43</w:t>
            </w:r>
          </w:p>
          <w:p w:rsidR="00A118C2" w:rsidRPr="00CA3791" w:rsidRDefault="00A118C2" w:rsidP="00A118C2">
            <w:pPr>
              <w:ind w:left="-108" w:right="-108"/>
              <w:rPr>
                <w:rFonts w:cs="Arial"/>
                <w:sz w:val="18"/>
                <w:szCs w:val="18"/>
              </w:rPr>
            </w:pP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3,804,046</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0.57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168,860</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662,967,335</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341"/>
        </w:trPr>
        <w:tc>
          <w:tcPr>
            <w:tcW w:w="2897" w:type="dxa"/>
          </w:tcPr>
          <w:p w:rsidR="00A118C2" w:rsidRDefault="00A118C2" w:rsidP="00A118C2">
            <w:pPr>
              <w:rPr>
                <w:rFonts w:cs="Arial"/>
                <w:b/>
                <w:sz w:val="18"/>
                <w:szCs w:val="18"/>
              </w:rPr>
            </w:pPr>
            <w:r>
              <w:rPr>
                <w:rFonts w:cs="Arial"/>
                <w:b/>
                <w:sz w:val="18"/>
                <w:szCs w:val="18"/>
              </w:rPr>
              <w:t>14.</w:t>
            </w:r>
            <w:r w:rsidRPr="00A63C06">
              <w:rPr>
                <w:rFonts w:cs="Arial"/>
                <w:sz w:val="18"/>
                <w:szCs w:val="18"/>
              </w:rPr>
              <w:t xml:space="preserve"> To re-elect </w:t>
            </w:r>
            <w:r w:rsidRPr="00F02F48">
              <w:rPr>
                <w:rFonts w:cs="Arial"/>
                <w:sz w:val="18"/>
                <w:szCs w:val="18"/>
              </w:rPr>
              <w:t xml:space="preserve">José Viñals as </w:t>
            </w:r>
            <w:r>
              <w:rPr>
                <w:rFonts w:cs="Arial"/>
                <w:sz w:val="18"/>
                <w:szCs w:val="18"/>
              </w:rPr>
              <w:t xml:space="preserve">Group </w:t>
            </w:r>
            <w:r w:rsidRPr="00F02F48">
              <w:rPr>
                <w:rFonts w:cs="Arial"/>
                <w:sz w:val="18"/>
                <w:szCs w:val="18"/>
              </w:rPr>
              <w:t>Chairman</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659,667,999</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99.50</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3,301,204</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0.50</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166,992</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662,969,203</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570"/>
        </w:trPr>
        <w:tc>
          <w:tcPr>
            <w:tcW w:w="2897" w:type="dxa"/>
          </w:tcPr>
          <w:p w:rsidR="00A118C2" w:rsidRPr="00A63C06" w:rsidRDefault="00A118C2" w:rsidP="00A118C2">
            <w:pPr>
              <w:rPr>
                <w:rFonts w:cs="Arial"/>
                <w:sz w:val="18"/>
                <w:szCs w:val="18"/>
              </w:rPr>
            </w:pPr>
            <w:r>
              <w:rPr>
                <w:rFonts w:cs="Arial"/>
                <w:b/>
                <w:sz w:val="18"/>
                <w:szCs w:val="18"/>
              </w:rPr>
              <w:t>15</w:t>
            </w:r>
            <w:r w:rsidRPr="00073488">
              <w:rPr>
                <w:rFonts w:cs="Arial"/>
                <w:b/>
                <w:sz w:val="18"/>
                <w:szCs w:val="18"/>
              </w:rPr>
              <w:t>.</w:t>
            </w:r>
            <w:r w:rsidRPr="00073488">
              <w:rPr>
                <w:rFonts w:cs="Arial"/>
                <w:sz w:val="18"/>
                <w:szCs w:val="18"/>
              </w:rPr>
              <w:t xml:space="preserve"> </w:t>
            </w:r>
            <w:r>
              <w:rPr>
                <w:rFonts w:cs="Arial"/>
                <w:sz w:val="18"/>
                <w:szCs w:val="18"/>
              </w:rPr>
              <w:t xml:space="preserve">To re-elect Jasmine Whitbread, </w:t>
            </w:r>
            <w:r w:rsidRPr="00F77FC7">
              <w:rPr>
                <w:rFonts w:cs="Arial"/>
                <w:sz w:val="18"/>
                <w:szCs w:val="18"/>
              </w:rPr>
              <w:t>a non-executive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661,943,298</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99.85</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1,018,758</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0.15</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174,139</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662,962,056</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570"/>
        </w:trPr>
        <w:tc>
          <w:tcPr>
            <w:tcW w:w="2897" w:type="dxa"/>
          </w:tcPr>
          <w:p w:rsidR="00A118C2" w:rsidRDefault="00A118C2" w:rsidP="00A118C2">
            <w:pPr>
              <w:rPr>
                <w:rFonts w:cs="Arial"/>
                <w:b/>
                <w:sz w:val="18"/>
                <w:szCs w:val="18"/>
              </w:rPr>
            </w:pPr>
            <w:r>
              <w:rPr>
                <w:rFonts w:cs="Arial"/>
                <w:b/>
                <w:sz w:val="18"/>
                <w:szCs w:val="18"/>
              </w:rPr>
              <w:t>16</w:t>
            </w:r>
            <w:r w:rsidRPr="00A63C06">
              <w:rPr>
                <w:rFonts w:cs="Arial"/>
                <w:b/>
                <w:sz w:val="18"/>
                <w:szCs w:val="18"/>
              </w:rPr>
              <w:t>.</w:t>
            </w:r>
            <w:r w:rsidRPr="00A63C06">
              <w:rPr>
                <w:rFonts w:cs="Arial"/>
                <w:sz w:val="18"/>
                <w:szCs w:val="18"/>
              </w:rPr>
              <w:t xml:space="preserve"> </w:t>
            </w:r>
            <w:r>
              <w:rPr>
                <w:rFonts w:cs="Arial"/>
                <w:sz w:val="18"/>
                <w:szCs w:val="18"/>
              </w:rPr>
              <w:t>To re-elect Bill Winters</w:t>
            </w:r>
            <w:r w:rsidRPr="00F77FC7">
              <w:rPr>
                <w:rFonts w:cs="Arial"/>
                <w:sz w:val="18"/>
                <w:szCs w:val="18"/>
              </w:rPr>
              <w:t>, an executive director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662,002,863</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99.86</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915,097</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0.14</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218,235</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662,917,960</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570"/>
        </w:trPr>
        <w:tc>
          <w:tcPr>
            <w:tcW w:w="2897" w:type="dxa"/>
          </w:tcPr>
          <w:p w:rsidR="00A118C2" w:rsidRPr="00A63C06" w:rsidRDefault="00A118C2" w:rsidP="00A118C2">
            <w:pPr>
              <w:rPr>
                <w:rFonts w:cs="Arial"/>
                <w:sz w:val="18"/>
                <w:szCs w:val="18"/>
              </w:rPr>
            </w:pPr>
            <w:r>
              <w:rPr>
                <w:rFonts w:cs="Arial"/>
                <w:b/>
                <w:sz w:val="18"/>
                <w:szCs w:val="18"/>
              </w:rPr>
              <w:t>17</w:t>
            </w:r>
            <w:r w:rsidRPr="00A63C06">
              <w:rPr>
                <w:rFonts w:cs="Arial"/>
                <w:b/>
                <w:sz w:val="18"/>
                <w:szCs w:val="18"/>
              </w:rPr>
              <w:t>.</w:t>
            </w:r>
            <w:r>
              <w:rPr>
                <w:rFonts w:cs="Arial"/>
                <w:sz w:val="18"/>
                <w:szCs w:val="18"/>
              </w:rPr>
              <w:t xml:space="preserve"> To re-</w:t>
            </w:r>
            <w:r w:rsidRPr="00A63C06">
              <w:rPr>
                <w:rFonts w:cs="Arial"/>
                <w:sz w:val="18"/>
                <w:szCs w:val="18"/>
              </w:rPr>
              <w:t xml:space="preserve">appoint KPMG </w:t>
            </w:r>
            <w:r>
              <w:rPr>
                <w:rFonts w:cs="Arial"/>
                <w:sz w:val="18"/>
                <w:szCs w:val="18"/>
              </w:rPr>
              <w:t>LLP</w:t>
            </w:r>
            <w:r w:rsidRPr="00A63C06">
              <w:rPr>
                <w:rFonts w:cs="Arial"/>
                <w:sz w:val="18"/>
                <w:szCs w:val="18"/>
              </w:rPr>
              <w:t xml:space="preserve"> as auditor to the Company from the end of the AGM until the end of next year’s AGM</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651,155,415</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98.93</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7,052,924</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1.07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4,824,600</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658,208,339</w:t>
            </w:r>
          </w:p>
        </w:tc>
        <w:tc>
          <w:tcPr>
            <w:tcW w:w="992" w:type="dxa"/>
          </w:tcPr>
          <w:p w:rsidR="00A118C2" w:rsidRPr="005B4B92" w:rsidRDefault="00A118C2" w:rsidP="00A118C2">
            <w:pPr>
              <w:ind w:left="-75"/>
              <w:rPr>
                <w:rFonts w:cs="Arial"/>
                <w:sz w:val="18"/>
                <w:szCs w:val="18"/>
              </w:rPr>
            </w:pPr>
            <w:r w:rsidRPr="005B4B92">
              <w:rPr>
                <w:rFonts w:cs="Arial"/>
                <w:sz w:val="18"/>
                <w:szCs w:val="18"/>
              </w:rPr>
              <w:t>79.73</w:t>
            </w:r>
          </w:p>
        </w:tc>
      </w:tr>
      <w:tr w:rsidR="00A118C2" w:rsidRPr="001E584B" w:rsidTr="005B4B92">
        <w:trPr>
          <w:cantSplit/>
          <w:trHeight w:val="570"/>
        </w:trPr>
        <w:tc>
          <w:tcPr>
            <w:tcW w:w="2897" w:type="dxa"/>
          </w:tcPr>
          <w:p w:rsidR="00A118C2" w:rsidRPr="00A63C06" w:rsidRDefault="00A118C2" w:rsidP="00A118C2">
            <w:pPr>
              <w:rPr>
                <w:rFonts w:cs="Arial"/>
                <w:sz w:val="18"/>
                <w:szCs w:val="18"/>
              </w:rPr>
            </w:pPr>
            <w:r>
              <w:rPr>
                <w:rFonts w:cs="Arial"/>
                <w:b/>
                <w:sz w:val="18"/>
                <w:szCs w:val="18"/>
              </w:rPr>
              <w:t>18</w:t>
            </w:r>
            <w:r w:rsidRPr="00A63C06">
              <w:rPr>
                <w:rFonts w:cs="Arial"/>
                <w:b/>
                <w:sz w:val="18"/>
                <w:szCs w:val="18"/>
              </w:rPr>
              <w:t>.</w:t>
            </w:r>
            <w:r w:rsidRPr="00A63C06">
              <w:rPr>
                <w:rFonts w:cs="Arial"/>
                <w:sz w:val="18"/>
                <w:szCs w:val="18"/>
              </w:rPr>
              <w:t xml:space="preserve"> To authorise the </w:t>
            </w:r>
            <w:r>
              <w:rPr>
                <w:rFonts w:cs="Arial"/>
                <w:sz w:val="18"/>
                <w:szCs w:val="18"/>
              </w:rPr>
              <w:t>Audit Committee</w:t>
            </w:r>
            <w:r w:rsidRPr="00A63C06">
              <w:rPr>
                <w:rFonts w:cs="Arial"/>
                <w:sz w:val="18"/>
                <w:szCs w:val="18"/>
              </w:rPr>
              <w:t xml:space="preserve"> to </w:t>
            </w:r>
            <w:r>
              <w:rPr>
                <w:rFonts w:cs="Arial"/>
                <w:sz w:val="18"/>
                <w:szCs w:val="18"/>
              </w:rPr>
              <w:t>determine</w:t>
            </w:r>
            <w:r w:rsidRPr="00A63C06">
              <w:rPr>
                <w:rFonts w:cs="Arial"/>
                <w:sz w:val="18"/>
                <w:szCs w:val="18"/>
              </w:rPr>
              <w:t xml:space="preserve"> the </w:t>
            </w:r>
            <w:r>
              <w:rPr>
                <w:rFonts w:cs="Arial"/>
                <w:sz w:val="18"/>
                <w:szCs w:val="18"/>
              </w:rPr>
              <w:t>remuneration of the Auditor</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659,433,344</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99.46</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3,549,631</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0.54</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146,675</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662,982,975</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r w:rsidR="00A118C2" w:rsidRPr="001E584B" w:rsidTr="005B4B92">
        <w:trPr>
          <w:cantSplit/>
          <w:trHeight w:val="524"/>
        </w:trPr>
        <w:tc>
          <w:tcPr>
            <w:tcW w:w="2897" w:type="dxa"/>
          </w:tcPr>
          <w:p w:rsidR="00A118C2" w:rsidRPr="00A63C06" w:rsidRDefault="00A118C2" w:rsidP="00A118C2">
            <w:pPr>
              <w:rPr>
                <w:rFonts w:cs="Arial"/>
                <w:sz w:val="18"/>
                <w:szCs w:val="18"/>
              </w:rPr>
            </w:pPr>
            <w:r>
              <w:rPr>
                <w:rFonts w:cs="Arial"/>
                <w:b/>
                <w:sz w:val="18"/>
                <w:szCs w:val="18"/>
              </w:rPr>
              <w:t>19</w:t>
            </w:r>
            <w:r w:rsidRPr="00A63C06">
              <w:rPr>
                <w:rFonts w:cs="Arial"/>
                <w:b/>
                <w:sz w:val="18"/>
                <w:szCs w:val="18"/>
              </w:rPr>
              <w:t>.</w:t>
            </w:r>
            <w:r w:rsidRPr="00A63C06">
              <w:rPr>
                <w:rFonts w:cs="Arial"/>
                <w:sz w:val="18"/>
                <w:szCs w:val="18"/>
              </w:rPr>
              <w:t xml:space="preserve"> To authorise the Company and its subsidiaries to make political donations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653,264,290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98.55</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9,641,642</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1.45</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222,189</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662,905,932</w:t>
            </w:r>
          </w:p>
        </w:tc>
        <w:tc>
          <w:tcPr>
            <w:tcW w:w="992" w:type="dxa"/>
          </w:tcPr>
          <w:p w:rsidR="00A118C2" w:rsidRPr="005B4B92" w:rsidRDefault="00A118C2" w:rsidP="00A118C2">
            <w:pPr>
              <w:ind w:left="-75"/>
              <w:rPr>
                <w:rFonts w:cs="Arial"/>
                <w:sz w:val="18"/>
                <w:szCs w:val="18"/>
              </w:rPr>
            </w:pPr>
            <w:r w:rsidRPr="005B4B92">
              <w:rPr>
                <w:rFonts w:cs="Arial"/>
                <w:sz w:val="18"/>
                <w:szCs w:val="18"/>
              </w:rPr>
              <w:t>80.29</w:t>
            </w:r>
          </w:p>
        </w:tc>
      </w:tr>
      <w:tr w:rsidR="00A118C2" w:rsidRPr="001E584B" w:rsidTr="005B4B92">
        <w:trPr>
          <w:cantSplit/>
          <w:trHeight w:val="518"/>
        </w:trPr>
        <w:tc>
          <w:tcPr>
            <w:tcW w:w="2897" w:type="dxa"/>
          </w:tcPr>
          <w:p w:rsidR="00A118C2" w:rsidRPr="00A63C06" w:rsidRDefault="00A118C2" w:rsidP="00A118C2">
            <w:pPr>
              <w:rPr>
                <w:rFonts w:cs="Arial"/>
                <w:sz w:val="18"/>
                <w:szCs w:val="18"/>
              </w:rPr>
            </w:pPr>
            <w:r>
              <w:rPr>
                <w:rFonts w:cs="Arial"/>
                <w:b/>
                <w:sz w:val="18"/>
                <w:szCs w:val="18"/>
              </w:rPr>
              <w:t>20</w:t>
            </w:r>
            <w:r w:rsidRPr="00A63C06">
              <w:rPr>
                <w:rFonts w:cs="Arial"/>
                <w:b/>
                <w:sz w:val="18"/>
                <w:szCs w:val="18"/>
              </w:rPr>
              <w:t>.</w:t>
            </w:r>
            <w:r w:rsidRPr="00A63C06">
              <w:rPr>
                <w:rFonts w:cs="Arial"/>
                <w:sz w:val="18"/>
                <w:szCs w:val="18"/>
              </w:rPr>
              <w:t xml:space="preserve"> To authorise the Board to allot shares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638,733,996</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96.38</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24,001,448</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3.62</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394,198</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662,735,444</w:t>
            </w:r>
          </w:p>
        </w:tc>
        <w:tc>
          <w:tcPr>
            <w:tcW w:w="992" w:type="dxa"/>
          </w:tcPr>
          <w:p w:rsidR="00A118C2" w:rsidRPr="005B4B92" w:rsidRDefault="00A118C2" w:rsidP="00A118C2">
            <w:pPr>
              <w:ind w:left="-75"/>
              <w:rPr>
                <w:rFonts w:cs="Arial"/>
                <w:sz w:val="18"/>
                <w:szCs w:val="18"/>
              </w:rPr>
            </w:pPr>
            <w:r w:rsidRPr="005B4B92">
              <w:rPr>
                <w:rFonts w:cs="Arial"/>
                <w:sz w:val="18"/>
                <w:szCs w:val="18"/>
              </w:rPr>
              <w:t>80.27</w:t>
            </w:r>
          </w:p>
        </w:tc>
      </w:tr>
      <w:tr w:rsidR="00A118C2" w:rsidRPr="001E584B" w:rsidTr="005B4B92">
        <w:trPr>
          <w:cantSplit/>
          <w:trHeight w:val="426"/>
        </w:trPr>
        <w:tc>
          <w:tcPr>
            <w:tcW w:w="2897" w:type="dxa"/>
          </w:tcPr>
          <w:p w:rsidR="00A118C2" w:rsidRPr="00A63C06" w:rsidRDefault="00A118C2" w:rsidP="00A118C2">
            <w:pPr>
              <w:rPr>
                <w:rFonts w:cs="Arial"/>
                <w:sz w:val="18"/>
                <w:szCs w:val="18"/>
              </w:rPr>
            </w:pPr>
            <w:r>
              <w:rPr>
                <w:rFonts w:cs="Arial"/>
                <w:b/>
                <w:sz w:val="18"/>
                <w:szCs w:val="18"/>
              </w:rPr>
              <w:t>21</w:t>
            </w:r>
            <w:r w:rsidRPr="00A63C06">
              <w:rPr>
                <w:rFonts w:cs="Arial"/>
                <w:b/>
                <w:sz w:val="18"/>
                <w:szCs w:val="18"/>
              </w:rPr>
              <w:t>.</w:t>
            </w:r>
            <w:r w:rsidRPr="00A63C06">
              <w:rPr>
                <w:rFonts w:cs="Arial"/>
                <w:sz w:val="18"/>
                <w:szCs w:val="18"/>
              </w:rPr>
              <w:t xml:space="preserve"> To extend the authority to allot shares by such number of shares repurchased by the Company under the authority granted pursuant to resolution </w:t>
            </w:r>
            <w:r>
              <w:rPr>
                <w:rFonts w:cs="Arial"/>
                <w:sz w:val="18"/>
                <w:szCs w:val="18"/>
              </w:rPr>
              <w:t>26</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638,902,236</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96.85</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20,792,760</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3.15</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3,434,644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659,694,996</w:t>
            </w:r>
          </w:p>
        </w:tc>
        <w:tc>
          <w:tcPr>
            <w:tcW w:w="992" w:type="dxa"/>
          </w:tcPr>
          <w:p w:rsidR="00A118C2" w:rsidRPr="005B4B92" w:rsidRDefault="00A118C2" w:rsidP="00A118C2">
            <w:pPr>
              <w:ind w:left="-75"/>
              <w:rPr>
                <w:rFonts w:cs="Arial"/>
                <w:sz w:val="18"/>
                <w:szCs w:val="18"/>
              </w:rPr>
            </w:pPr>
            <w:r w:rsidRPr="005B4B92">
              <w:rPr>
                <w:rFonts w:cs="Arial"/>
                <w:sz w:val="18"/>
                <w:szCs w:val="18"/>
              </w:rPr>
              <w:t>79.91</w:t>
            </w:r>
          </w:p>
        </w:tc>
      </w:tr>
      <w:tr w:rsidR="00A118C2" w:rsidRPr="001E584B" w:rsidTr="005B4B92">
        <w:trPr>
          <w:cantSplit/>
          <w:trHeight w:val="607"/>
        </w:trPr>
        <w:tc>
          <w:tcPr>
            <w:tcW w:w="2897" w:type="dxa"/>
          </w:tcPr>
          <w:p w:rsidR="00A118C2" w:rsidRPr="00A63C06" w:rsidRDefault="00A118C2" w:rsidP="00A118C2">
            <w:pPr>
              <w:rPr>
                <w:rFonts w:cs="Arial"/>
                <w:sz w:val="18"/>
                <w:szCs w:val="18"/>
              </w:rPr>
            </w:pPr>
            <w:r>
              <w:rPr>
                <w:rFonts w:cs="Arial"/>
                <w:b/>
                <w:sz w:val="18"/>
                <w:szCs w:val="18"/>
              </w:rPr>
              <w:t>22</w:t>
            </w:r>
            <w:r w:rsidRPr="00A63C06">
              <w:rPr>
                <w:rFonts w:cs="Arial"/>
                <w:b/>
                <w:sz w:val="18"/>
                <w:szCs w:val="18"/>
              </w:rPr>
              <w:t>.</w:t>
            </w:r>
            <w:r w:rsidRPr="00A63C06">
              <w:rPr>
                <w:rFonts w:cs="Arial"/>
                <w:sz w:val="18"/>
                <w:szCs w:val="18"/>
              </w:rPr>
              <w:t xml:space="preserve"> To authorise the Board to allot shares and grant rights to subscribe for or to convert any security into shares in relation to any issue of Equity Convertible Additional Tier 1 Securities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649,345,468</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98.43</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10,334,549</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1.57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3,449,627</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659,680,017</w:t>
            </w:r>
          </w:p>
        </w:tc>
        <w:tc>
          <w:tcPr>
            <w:tcW w:w="992" w:type="dxa"/>
          </w:tcPr>
          <w:p w:rsidR="00A118C2" w:rsidRPr="005B4B92" w:rsidRDefault="00A118C2" w:rsidP="00A118C2">
            <w:pPr>
              <w:ind w:left="-75"/>
              <w:rPr>
                <w:rFonts w:cs="Arial"/>
                <w:sz w:val="18"/>
                <w:szCs w:val="18"/>
              </w:rPr>
            </w:pPr>
            <w:r w:rsidRPr="005B4B92">
              <w:rPr>
                <w:rFonts w:cs="Arial"/>
                <w:sz w:val="18"/>
                <w:szCs w:val="18"/>
              </w:rPr>
              <w:t>79.90</w:t>
            </w:r>
          </w:p>
        </w:tc>
      </w:tr>
      <w:tr w:rsidR="00A118C2" w:rsidRPr="001E584B" w:rsidTr="005B4B92">
        <w:trPr>
          <w:cantSplit/>
          <w:trHeight w:val="575"/>
        </w:trPr>
        <w:tc>
          <w:tcPr>
            <w:tcW w:w="2897" w:type="dxa"/>
          </w:tcPr>
          <w:p w:rsidR="00A118C2" w:rsidRPr="00A63C06" w:rsidRDefault="00A118C2" w:rsidP="00A118C2">
            <w:pPr>
              <w:rPr>
                <w:rFonts w:cs="Arial"/>
                <w:sz w:val="18"/>
                <w:szCs w:val="18"/>
              </w:rPr>
            </w:pPr>
            <w:r>
              <w:rPr>
                <w:rFonts w:cs="Arial"/>
                <w:b/>
                <w:sz w:val="18"/>
                <w:szCs w:val="18"/>
              </w:rPr>
              <w:t>23</w:t>
            </w:r>
            <w:r w:rsidRPr="00A63C06">
              <w:rPr>
                <w:rFonts w:cs="Arial"/>
                <w:b/>
                <w:sz w:val="18"/>
                <w:szCs w:val="18"/>
              </w:rPr>
              <w:t>.</w:t>
            </w:r>
            <w:r w:rsidRPr="00A63C06">
              <w:rPr>
                <w:rFonts w:cs="Arial"/>
                <w:sz w:val="18"/>
                <w:szCs w:val="18"/>
              </w:rPr>
              <w:t xml:space="preserve"> To authorise the Board to disapply pre-emption rights in relation to authority g</w:t>
            </w:r>
            <w:r>
              <w:rPr>
                <w:rFonts w:cs="Arial"/>
                <w:sz w:val="18"/>
                <w:szCs w:val="18"/>
              </w:rPr>
              <w:t>ranted pursuant to resolution 20</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656,597,788</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99.54</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3,042,725</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0.46</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3,488,647</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659,640,513</w:t>
            </w:r>
          </w:p>
        </w:tc>
        <w:tc>
          <w:tcPr>
            <w:tcW w:w="992" w:type="dxa"/>
          </w:tcPr>
          <w:p w:rsidR="00A118C2" w:rsidRPr="005B4B92" w:rsidRDefault="00A118C2" w:rsidP="00A118C2">
            <w:pPr>
              <w:ind w:left="-75"/>
              <w:rPr>
                <w:rFonts w:cs="Arial"/>
                <w:sz w:val="18"/>
                <w:szCs w:val="18"/>
              </w:rPr>
            </w:pPr>
            <w:r w:rsidRPr="005B4B92">
              <w:rPr>
                <w:rFonts w:cs="Arial"/>
                <w:sz w:val="18"/>
                <w:szCs w:val="18"/>
              </w:rPr>
              <w:t>79.90</w:t>
            </w:r>
          </w:p>
        </w:tc>
      </w:tr>
      <w:tr w:rsidR="00A118C2" w:rsidRPr="001E584B" w:rsidTr="005B4B92">
        <w:trPr>
          <w:cantSplit/>
          <w:trHeight w:val="575"/>
        </w:trPr>
        <w:tc>
          <w:tcPr>
            <w:tcW w:w="2897" w:type="dxa"/>
          </w:tcPr>
          <w:p w:rsidR="00A118C2" w:rsidRPr="00F02F48" w:rsidRDefault="00A118C2" w:rsidP="00A118C2">
            <w:pPr>
              <w:rPr>
                <w:rFonts w:cs="Arial"/>
                <w:sz w:val="18"/>
                <w:szCs w:val="18"/>
              </w:rPr>
            </w:pPr>
            <w:r>
              <w:rPr>
                <w:rFonts w:cs="Arial"/>
                <w:b/>
                <w:sz w:val="18"/>
                <w:szCs w:val="18"/>
              </w:rPr>
              <w:t>24</w:t>
            </w:r>
            <w:r w:rsidRPr="00A63C06">
              <w:rPr>
                <w:rFonts w:cs="Arial"/>
                <w:b/>
                <w:sz w:val="18"/>
                <w:szCs w:val="18"/>
              </w:rPr>
              <w:t>.</w:t>
            </w:r>
            <w:r w:rsidRPr="00A63C06">
              <w:rPr>
                <w:rFonts w:cs="Arial"/>
                <w:sz w:val="18"/>
                <w:szCs w:val="18"/>
              </w:rPr>
              <w:t xml:space="preserve"> </w:t>
            </w:r>
            <w:r w:rsidRPr="00F02F48">
              <w:rPr>
                <w:rFonts w:cs="Arial"/>
                <w:sz w:val="18"/>
                <w:szCs w:val="18"/>
              </w:rPr>
              <w:t>In addition to resolution 23, to authorise the Board to</w:t>
            </w:r>
          </w:p>
          <w:p w:rsidR="00A118C2" w:rsidRPr="00F02F48" w:rsidRDefault="00A118C2" w:rsidP="00A118C2">
            <w:pPr>
              <w:rPr>
                <w:rFonts w:cs="Arial"/>
                <w:sz w:val="18"/>
                <w:szCs w:val="18"/>
              </w:rPr>
            </w:pPr>
            <w:r w:rsidRPr="00F02F48">
              <w:rPr>
                <w:rFonts w:cs="Arial"/>
                <w:sz w:val="18"/>
                <w:szCs w:val="18"/>
              </w:rPr>
              <w:t>disapply pre-emption rights in relation to the authority</w:t>
            </w:r>
          </w:p>
          <w:p w:rsidR="00A118C2" w:rsidRPr="00F02F48" w:rsidRDefault="00A118C2" w:rsidP="00A118C2">
            <w:pPr>
              <w:rPr>
                <w:rFonts w:cs="Arial"/>
                <w:sz w:val="18"/>
                <w:szCs w:val="18"/>
              </w:rPr>
            </w:pPr>
            <w:r w:rsidRPr="00F02F48">
              <w:rPr>
                <w:rFonts w:cs="Arial"/>
                <w:sz w:val="18"/>
                <w:szCs w:val="18"/>
              </w:rPr>
              <w:t>granted pursuant to re</w:t>
            </w:r>
            <w:r>
              <w:rPr>
                <w:rFonts w:cs="Arial"/>
                <w:sz w:val="18"/>
                <w:szCs w:val="18"/>
              </w:rPr>
              <w:t xml:space="preserve">solution 20 for the purposes of </w:t>
            </w:r>
            <w:r w:rsidRPr="00F02F48">
              <w:rPr>
                <w:rFonts w:cs="Arial"/>
                <w:sz w:val="18"/>
                <w:szCs w:val="18"/>
              </w:rPr>
              <w:t>acquisitions and other capital investments.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636,620,312</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96.43</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23,600,984</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3.57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3,447,874</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660,221,296</w:t>
            </w:r>
          </w:p>
        </w:tc>
        <w:tc>
          <w:tcPr>
            <w:tcW w:w="992" w:type="dxa"/>
          </w:tcPr>
          <w:p w:rsidR="00A118C2" w:rsidRPr="005B4B92" w:rsidRDefault="00A118C2" w:rsidP="00A118C2">
            <w:pPr>
              <w:ind w:left="-75"/>
              <w:rPr>
                <w:rFonts w:cs="Arial"/>
                <w:sz w:val="18"/>
                <w:szCs w:val="18"/>
              </w:rPr>
            </w:pPr>
            <w:r w:rsidRPr="005B4B92">
              <w:rPr>
                <w:rFonts w:cs="Arial"/>
                <w:sz w:val="18"/>
                <w:szCs w:val="18"/>
              </w:rPr>
              <w:t>79.97</w:t>
            </w:r>
          </w:p>
        </w:tc>
      </w:tr>
      <w:tr w:rsidR="00A118C2" w:rsidRPr="001E584B" w:rsidTr="005B4B92">
        <w:trPr>
          <w:cantSplit/>
          <w:trHeight w:val="568"/>
        </w:trPr>
        <w:tc>
          <w:tcPr>
            <w:tcW w:w="2897" w:type="dxa"/>
          </w:tcPr>
          <w:p w:rsidR="00A118C2" w:rsidRPr="00A63C06" w:rsidRDefault="00A118C2" w:rsidP="00A118C2">
            <w:pPr>
              <w:rPr>
                <w:rFonts w:cs="Arial"/>
                <w:sz w:val="18"/>
                <w:szCs w:val="18"/>
              </w:rPr>
            </w:pPr>
            <w:r>
              <w:rPr>
                <w:rFonts w:cs="Arial"/>
                <w:b/>
                <w:sz w:val="18"/>
                <w:szCs w:val="18"/>
              </w:rPr>
              <w:t>25</w:t>
            </w:r>
            <w:r w:rsidRPr="00A63C06">
              <w:rPr>
                <w:rFonts w:cs="Arial"/>
                <w:b/>
                <w:sz w:val="18"/>
                <w:szCs w:val="18"/>
              </w:rPr>
              <w:t>.</w:t>
            </w:r>
            <w:r w:rsidRPr="00A63C06">
              <w:rPr>
                <w:rFonts w:cs="Arial"/>
                <w:sz w:val="18"/>
                <w:szCs w:val="18"/>
              </w:rPr>
              <w:t xml:space="preserve"> To authorise the Board to disapply pre-emption rights in relation to authority </w:t>
            </w:r>
            <w:r>
              <w:rPr>
                <w:rFonts w:cs="Arial"/>
                <w:sz w:val="18"/>
                <w:szCs w:val="18"/>
              </w:rPr>
              <w:t>granted pursuant to resolutions 23 and 24 and if resolution 22 is passed</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642,664,850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97.43</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16,976,653</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2.57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3,487,647</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659,641,503</w:t>
            </w:r>
          </w:p>
        </w:tc>
        <w:tc>
          <w:tcPr>
            <w:tcW w:w="992" w:type="dxa"/>
          </w:tcPr>
          <w:p w:rsidR="00A118C2" w:rsidRPr="005B4B92" w:rsidRDefault="00A118C2" w:rsidP="00A118C2">
            <w:pPr>
              <w:ind w:left="-75"/>
              <w:rPr>
                <w:rFonts w:cs="Arial"/>
                <w:sz w:val="18"/>
                <w:szCs w:val="18"/>
              </w:rPr>
            </w:pPr>
            <w:r w:rsidRPr="005B4B92">
              <w:rPr>
                <w:rFonts w:cs="Arial"/>
                <w:sz w:val="18"/>
                <w:szCs w:val="18"/>
              </w:rPr>
              <w:t>79.90</w:t>
            </w:r>
          </w:p>
        </w:tc>
      </w:tr>
      <w:tr w:rsidR="00A118C2" w:rsidRPr="001E584B" w:rsidTr="005B4B92">
        <w:trPr>
          <w:cantSplit/>
          <w:trHeight w:val="643"/>
        </w:trPr>
        <w:tc>
          <w:tcPr>
            <w:tcW w:w="2897" w:type="dxa"/>
          </w:tcPr>
          <w:p w:rsidR="00A118C2" w:rsidRPr="00A63C06" w:rsidRDefault="00A118C2" w:rsidP="00A118C2">
            <w:pPr>
              <w:rPr>
                <w:rFonts w:cs="Arial"/>
                <w:sz w:val="18"/>
                <w:szCs w:val="18"/>
              </w:rPr>
            </w:pPr>
            <w:r>
              <w:rPr>
                <w:rFonts w:cs="Arial"/>
                <w:b/>
                <w:sz w:val="18"/>
                <w:szCs w:val="18"/>
              </w:rPr>
              <w:t>26</w:t>
            </w:r>
            <w:r w:rsidRPr="00A63C06">
              <w:rPr>
                <w:rFonts w:cs="Arial"/>
                <w:b/>
                <w:sz w:val="18"/>
                <w:szCs w:val="18"/>
              </w:rPr>
              <w:t>.</w:t>
            </w:r>
            <w:r w:rsidRPr="00A63C06">
              <w:rPr>
                <w:rFonts w:cs="Arial"/>
                <w:sz w:val="18"/>
                <w:szCs w:val="18"/>
              </w:rPr>
              <w:t xml:space="preserve"> To authorise the Company to purchase its own ordinary shares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655,773,730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98.99</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6,691,454</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1.01</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663,663</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662,465,184</w:t>
            </w:r>
          </w:p>
        </w:tc>
        <w:tc>
          <w:tcPr>
            <w:tcW w:w="992" w:type="dxa"/>
          </w:tcPr>
          <w:p w:rsidR="00A118C2" w:rsidRPr="005B4B92" w:rsidRDefault="00A118C2" w:rsidP="00A118C2">
            <w:pPr>
              <w:ind w:left="-75"/>
              <w:rPr>
                <w:rFonts w:cs="Arial"/>
                <w:sz w:val="18"/>
                <w:szCs w:val="18"/>
              </w:rPr>
            </w:pPr>
            <w:r w:rsidRPr="005B4B92">
              <w:rPr>
                <w:rFonts w:cs="Arial"/>
                <w:sz w:val="18"/>
                <w:szCs w:val="18"/>
              </w:rPr>
              <w:t>80.24</w:t>
            </w:r>
          </w:p>
        </w:tc>
      </w:tr>
      <w:tr w:rsidR="00A118C2" w:rsidRPr="001E584B" w:rsidTr="005B4B92">
        <w:trPr>
          <w:cantSplit/>
          <w:trHeight w:val="689"/>
        </w:trPr>
        <w:tc>
          <w:tcPr>
            <w:tcW w:w="2897" w:type="dxa"/>
          </w:tcPr>
          <w:p w:rsidR="00A118C2" w:rsidRPr="00A63C06" w:rsidRDefault="00A118C2" w:rsidP="00A118C2">
            <w:pPr>
              <w:rPr>
                <w:rFonts w:cs="Arial"/>
                <w:sz w:val="18"/>
                <w:szCs w:val="18"/>
              </w:rPr>
            </w:pPr>
            <w:r>
              <w:rPr>
                <w:rFonts w:cs="Arial"/>
                <w:b/>
                <w:sz w:val="18"/>
                <w:szCs w:val="18"/>
              </w:rPr>
              <w:t>27</w:t>
            </w:r>
            <w:r w:rsidRPr="00A63C06">
              <w:rPr>
                <w:rFonts w:cs="Arial"/>
                <w:b/>
                <w:sz w:val="18"/>
                <w:szCs w:val="18"/>
              </w:rPr>
              <w:t>.</w:t>
            </w:r>
            <w:r w:rsidRPr="00A63C06">
              <w:rPr>
                <w:rFonts w:cs="Arial"/>
                <w:sz w:val="18"/>
                <w:szCs w:val="18"/>
              </w:rPr>
              <w:t xml:space="preserve"> To authorise the Company to purchase its own preference shares</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660,642,964</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cs="Arial"/>
                <w:sz w:val="18"/>
                <w:szCs w:val="18"/>
                <w:lang w:eastAsia="en-GB"/>
              </w:rPr>
            </w:pPr>
            <w:r w:rsidRPr="00CA3791">
              <w:rPr>
                <w:rFonts w:cs="Arial"/>
                <w:sz w:val="18"/>
                <w:szCs w:val="18"/>
              </w:rPr>
              <w:t>99.73</w:t>
            </w:r>
          </w:p>
        </w:tc>
        <w:tc>
          <w:tcPr>
            <w:tcW w:w="1247" w:type="dxa"/>
          </w:tcPr>
          <w:p w:rsidR="00A118C2" w:rsidRPr="00CA3791" w:rsidRDefault="00A118C2" w:rsidP="00A118C2">
            <w:pPr>
              <w:ind w:left="-108" w:right="34"/>
              <w:rPr>
                <w:rFonts w:cs="Arial"/>
                <w:sz w:val="18"/>
                <w:szCs w:val="18"/>
                <w:lang w:eastAsia="en-GB"/>
              </w:rPr>
            </w:pPr>
            <w:r w:rsidRPr="00CA3791">
              <w:rPr>
                <w:rFonts w:cs="Arial"/>
                <w:sz w:val="18"/>
                <w:szCs w:val="18"/>
              </w:rPr>
              <w:t>1,818,359</w:t>
            </w:r>
          </w:p>
        </w:tc>
        <w:tc>
          <w:tcPr>
            <w:tcW w:w="567" w:type="dxa"/>
          </w:tcPr>
          <w:p w:rsidR="00A118C2" w:rsidRPr="00CA3791" w:rsidRDefault="00A118C2" w:rsidP="00A118C2">
            <w:pPr>
              <w:ind w:left="-108" w:right="-108"/>
              <w:rPr>
                <w:rFonts w:cs="Arial"/>
                <w:sz w:val="18"/>
                <w:szCs w:val="18"/>
                <w:lang w:eastAsia="en-GB"/>
              </w:rPr>
            </w:pPr>
            <w:r w:rsidRPr="00CA3791">
              <w:rPr>
                <w:rFonts w:cs="Arial"/>
                <w:sz w:val="18"/>
                <w:szCs w:val="18"/>
              </w:rPr>
              <w:t>0.27</w:t>
            </w:r>
          </w:p>
        </w:tc>
        <w:tc>
          <w:tcPr>
            <w:tcW w:w="1276" w:type="dxa"/>
          </w:tcPr>
          <w:p w:rsidR="00A118C2" w:rsidRPr="00CA3791" w:rsidRDefault="00A118C2" w:rsidP="00A118C2">
            <w:pPr>
              <w:ind w:left="-108"/>
              <w:rPr>
                <w:rFonts w:cs="Arial"/>
                <w:sz w:val="18"/>
                <w:szCs w:val="18"/>
                <w:lang w:eastAsia="en-GB"/>
              </w:rPr>
            </w:pPr>
            <w:r w:rsidRPr="00CA3791">
              <w:rPr>
                <w:rFonts w:cs="Arial"/>
                <w:sz w:val="18"/>
                <w:szCs w:val="18"/>
              </w:rPr>
              <w:t>668,050</w:t>
            </w:r>
          </w:p>
        </w:tc>
        <w:tc>
          <w:tcPr>
            <w:tcW w:w="1276" w:type="dxa"/>
          </w:tcPr>
          <w:p w:rsidR="00A118C2" w:rsidRPr="00CA3791" w:rsidRDefault="00A118C2" w:rsidP="00A118C2">
            <w:pPr>
              <w:ind w:left="-75"/>
              <w:rPr>
                <w:rFonts w:cs="Arial"/>
                <w:sz w:val="18"/>
                <w:szCs w:val="18"/>
                <w:lang w:eastAsia="en-GB"/>
              </w:rPr>
            </w:pPr>
            <w:r w:rsidRPr="00CA3791">
              <w:rPr>
                <w:rFonts w:cs="Arial"/>
                <w:sz w:val="18"/>
                <w:szCs w:val="18"/>
              </w:rPr>
              <w:t>662,461,323</w:t>
            </w:r>
          </w:p>
        </w:tc>
        <w:tc>
          <w:tcPr>
            <w:tcW w:w="992" w:type="dxa"/>
          </w:tcPr>
          <w:p w:rsidR="00A118C2" w:rsidRPr="005B4B92" w:rsidRDefault="00A118C2" w:rsidP="00A118C2">
            <w:pPr>
              <w:ind w:left="-75"/>
              <w:rPr>
                <w:rFonts w:cs="Arial"/>
                <w:sz w:val="18"/>
                <w:szCs w:val="18"/>
              </w:rPr>
            </w:pPr>
            <w:r w:rsidRPr="005B4B92">
              <w:rPr>
                <w:rFonts w:cs="Arial"/>
                <w:sz w:val="18"/>
                <w:szCs w:val="18"/>
              </w:rPr>
              <w:t>80.24</w:t>
            </w:r>
          </w:p>
        </w:tc>
      </w:tr>
      <w:tr w:rsidR="00A118C2" w:rsidRPr="001E584B" w:rsidTr="005B4B92">
        <w:trPr>
          <w:cantSplit/>
          <w:trHeight w:val="689"/>
        </w:trPr>
        <w:tc>
          <w:tcPr>
            <w:tcW w:w="2897" w:type="dxa"/>
          </w:tcPr>
          <w:p w:rsidR="00A118C2" w:rsidRPr="00A63C06" w:rsidRDefault="00A118C2" w:rsidP="00A118C2">
            <w:pPr>
              <w:rPr>
                <w:rFonts w:cs="Arial"/>
                <w:sz w:val="18"/>
                <w:szCs w:val="18"/>
              </w:rPr>
            </w:pPr>
            <w:r>
              <w:rPr>
                <w:rFonts w:cs="Arial"/>
                <w:b/>
                <w:sz w:val="18"/>
                <w:szCs w:val="18"/>
              </w:rPr>
              <w:t>28</w:t>
            </w:r>
            <w:r w:rsidRPr="00A63C06">
              <w:rPr>
                <w:rFonts w:cs="Arial"/>
                <w:b/>
                <w:sz w:val="18"/>
                <w:szCs w:val="18"/>
              </w:rPr>
              <w:t>.</w:t>
            </w:r>
            <w:r w:rsidRPr="00A63C06">
              <w:rPr>
                <w:rFonts w:cs="Arial"/>
                <w:sz w:val="18"/>
                <w:szCs w:val="18"/>
              </w:rPr>
              <w:t xml:space="preserve"> That a general meeting other than an annual general meeting may be called on not less than 14 clear days’ notice</w:t>
            </w:r>
          </w:p>
        </w:tc>
        <w:tc>
          <w:tcPr>
            <w:tcW w:w="1356" w:type="dxa"/>
          </w:tcPr>
          <w:p w:rsidR="00A118C2" w:rsidRPr="00CA3791" w:rsidRDefault="00A118C2" w:rsidP="00A118C2">
            <w:pPr>
              <w:ind w:left="-108" w:right="-108"/>
              <w:rPr>
                <w:rFonts w:cs="Arial"/>
                <w:sz w:val="18"/>
                <w:szCs w:val="18"/>
              </w:rPr>
            </w:pPr>
            <w:r w:rsidRPr="00CA3791">
              <w:rPr>
                <w:rFonts w:cs="Arial"/>
                <w:sz w:val="18"/>
                <w:szCs w:val="18"/>
              </w:rPr>
              <w:t>632,092,060</w:t>
            </w:r>
          </w:p>
          <w:p w:rsidR="00A118C2" w:rsidRPr="00CA3791" w:rsidRDefault="00A118C2" w:rsidP="00A118C2">
            <w:pPr>
              <w:ind w:left="-108" w:right="-108"/>
              <w:rPr>
                <w:rFonts w:cs="Arial"/>
                <w:sz w:val="18"/>
                <w:szCs w:val="18"/>
              </w:rPr>
            </w:pPr>
          </w:p>
        </w:tc>
        <w:tc>
          <w:tcPr>
            <w:tcW w:w="737" w:type="dxa"/>
          </w:tcPr>
          <w:p w:rsidR="00A118C2" w:rsidRPr="00CA3791" w:rsidRDefault="00A118C2" w:rsidP="00A118C2">
            <w:pPr>
              <w:ind w:left="-108" w:right="-108"/>
              <w:rPr>
                <w:rFonts w:eastAsia="Times New Roman" w:cs="Arial"/>
                <w:sz w:val="18"/>
                <w:szCs w:val="18"/>
                <w:lang w:eastAsia="en-GB"/>
              </w:rPr>
            </w:pPr>
            <w:r w:rsidRPr="00CA3791">
              <w:rPr>
                <w:rFonts w:cs="Arial"/>
                <w:sz w:val="18"/>
                <w:szCs w:val="18"/>
              </w:rPr>
              <w:t>95.35</w:t>
            </w:r>
          </w:p>
        </w:tc>
        <w:tc>
          <w:tcPr>
            <w:tcW w:w="1247" w:type="dxa"/>
          </w:tcPr>
          <w:p w:rsidR="00A118C2" w:rsidRPr="00CA3791" w:rsidRDefault="00A118C2" w:rsidP="00A118C2">
            <w:pPr>
              <w:ind w:left="-108" w:right="34"/>
              <w:rPr>
                <w:rFonts w:eastAsia="Times New Roman" w:cs="Arial"/>
                <w:sz w:val="18"/>
                <w:szCs w:val="18"/>
                <w:lang w:eastAsia="en-GB"/>
              </w:rPr>
            </w:pPr>
            <w:r w:rsidRPr="00CA3791">
              <w:rPr>
                <w:rFonts w:cs="Arial"/>
                <w:sz w:val="18"/>
                <w:szCs w:val="18"/>
              </w:rPr>
              <w:t>30,837,424</w:t>
            </w:r>
          </w:p>
        </w:tc>
        <w:tc>
          <w:tcPr>
            <w:tcW w:w="567" w:type="dxa"/>
          </w:tcPr>
          <w:p w:rsidR="00A118C2" w:rsidRPr="00CA3791" w:rsidRDefault="00A118C2" w:rsidP="00A118C2">
            <w:pPr>
              <w:ind w:left="-108" w:right="-108"/>
              <w:rPr>
                <w:rFonts w:eastAsia="Times New Roman" w:cs="Arial"/>
                <w:sz w:val="18"/>
                <w:szCs w:val="18"/>
                <w:lang w:eastAsia="en-GB"/>
              </w:rPr>
            </w:pPr>
            <w:r w:rsidRPr="00CA3791">
              <w:rPr>
                <w:rFonts w:cs="Arial"/>
                <w:sz w:val="18"/>
                <w:szCs w:val="18"/>
              </w:rPr>
              <w:t>4.65</w:t>
            </w:r>
          </w:p>
        </w:tc>
        <w:tc>
          <w:tcPr>
            <w:tcW w:w="1276" w:type="dxa"/>
          </w:tcPr>
          <w:p w:rsidR="00A118C2" w:rsidRPr="00CA3791" w:rsidRDefault="00A118C2" w:rsidP="00A118C2">
            <w:pPr>
              <w:ind w:left="-108"/>
              <w:rPr>
                <w:rFonts w:eastAsia="Times New Roman" w:cs="Arial"/>
                <w:sz w:val="18"/>
                <w:szCs w:val="18"/>
                <w:lang w:eastAsia="en-GB"/>
              </w:rPr>
            </w:pPr>
            <w:r w:rsidRPr="00CA3791">
              <w:rPr>
                <w:rFonts w:cs="Arial"/>
                <w:sz w:val="18"/>
                <w:szCs w:val="18"/>
              </w:rPr>
              <w:t>200,218</w:t>
            </w:r>
          </w:p>
        </w:tc>
        <w:tc>
          <w:tcPr>
            <w:tcW w:w="1276" w:type="dxa"/>
          </w:tcPr>
          <w:p w:rsidR="00A118C2" w:rsidRPr="00CA3791" w:rsidRDefault="00A118C2" w:rsidP="00A118C2">
            <w:pPr>
              <w:ind w:left="-75"/>
              <w:rPr>
                <w:rFonts w:eastAsia="Times New Roman" w:cs="Arial"/>
                <w:sz w:val="18"/>
                <w:szCs w:val="18"/>
                <w:lang w:eastAsia="en-GB"/>
              </w:rPr>
            </w:pPr>
            <w:r w:rsidRPr="00CA3791">
              <w:rPr>
                <w:rFonts w:cs="Arial"/>
                <w:sz w:val="18"/>
                <w:szCs w:val="18"/>
              </w:rPr>
              <w:t>662,929,484</w:t>
            </w:r>
          </w:p>
        </w:tc>
        <w:tc>
          <w:tcPr>
            <w:tcW w:w="992" w:type="dxa"/>
          </w:tcPr>
          <w:p w:rsidR="00A118C2" w:rsidRPr="005B4B92" w:rsidRDefault="00A118C2" w:rsidP="00A118C2">
            <w:pPr>
              <w:ind w:left="-75"/>
              <w:rPr>
                <w:rFonts w:cs="Arial"/>
                <w:sz w:val="18"/>
                <w:szCs w:val="18"/>
              </w:rPr>
            </w:pPr>
            <w:r w:rsidRPr="005B4B92">
              <w:rPr>
                <w:rFonts w:cs="Arial"/>
                <w:sz w:val="18"/>
                <w:szCs w:val="18"/>
              </w:rPr>
              <w:t>80.30</w:t>
            </w:r>
          </w:p>
        </w:tc>
      </w:tr>
    </w:tbl>
    <w:p w:rsidR="003C6383" w:rsidRDefault="003C6383">
      <w:pPr>
        <w:rPr>
          <w:rFonts w:cs="Arial"/>
          <w:sz w:val="20"/>
          <w:szCs w:val="20"/>
        </w:rPr>
      </w:pPr>
    </w:p>
    <w:p w:rsidR="003C6383" w:rsidRPr="001E3086" w:rsidRDefault="005C6D8C" w:rsidP="00A96DA6">
      <w:pPr>
        <w:jc w:val="both"/>
        <w:rPr>
          <w:rFonts w:cs="Arial"/>
          <w:sz w:val="20"/>
          <w:szCs w:val="20"/>
        </w:rPr>
      </w:pPr>
      <w:r>
        <w:rPr>
          <w:rFonts w:cs="Arial"/>
          <w:sz w:val="20"/>
          <w:szCs w:val="20"/>
        </w:rPr>
        <w:t xml:space="preserve">As at the date of the AGM, the number of issued ordinary shares of the </w:t>
      </w:r>
      <w:r w:rsidR="00865048">
        <w:rPr>
          <w:rFonts w:cs="Arial"/>
          <w:sz w:val="20"/>
          <w:szCs w:val="20"/>
        </w:rPr>
        <w:t xml:space="preserve">Company </w:t>
      </w:r>
      <w:r w:rsidR="00865048">
        <w:rPr>
          <w:rFonts w:cs="Arial"/>
          <w:sz w:val="20"/>
          <w:szCs w:val="20"/>
          <w:lang w:eastAsia="en-GB"/>
        </w:rPr>
        <w:t xml:space="preserve">was </w:t>
      </w:r>
      <w:r w:rsidR="008E527E" w:rsidRPr="00CA4F06">
        <w:rPr>
          <w:rFonts w:cs="Arial"/>
          <w:sz w:val="20"/>
          <w:szCs w:val="20"/>
          <w:lang w:eastAsia="en-GB"/>
        </w:rPr>
        <w:t>3</w:t>
      </w:r>
      <w:r w:rsidR="008E527E">
        <w:rPr>
          <w:rFonts w:cs="Arial"/>
          <w:sz w:val="20"/>
          <w:szCs w:val="20"/>
          <w:lang w:eastAsia="en-GB"/>
        </w:rPr>
        <w:t>,</w:t>
      </w:r>
      <w:r w:rsidR="008E527E" w:rsidRPr="00CA4F06">
        <w:rPr>
          <w:rFonts w:cs="Arial"/>
          <w:sz w:val="20"/>
          <w:szCs w:val="20"/>
          <w:lang w:eastAsia="en-GB"/>
        </w:rPr>
        <w:t>302</w:t>
      </w:r>
      <w:r w:rsidR="008E527E">
        <w:rPr>
          <w:rFonts w:cs="Arial"/>
          <w:sz w:val="20"/>
          <w:szCs w:val="20"/>
          <w:lang w:eastAsia="en-GB"/>
        </w:rPr>
        <w:t>,</w:t>
      </w:r>
      <w:r w:rsidR="008E527E" w:rsidRPr="00CA4F06">
        <w:rPr>
          <w:rFonts w:cs="Arial"/>
          <w:sz w:val="20"/>
          <w:szCs w:val="20"/>
          <w:lang w:eastAsia="en-GB"/>
        </w:rPr>
        <w:t>379</w:t>
      </w:r>
      <w:r w:rsidR="008E527E">
        <w:rPr>
          <w:rFonts w:cs="Arial"/>
          <w:sz w:val="20"/>
          <w:szCs w:val="20"/>
          <w:lang w:eastAsia="en-GB"/>
        </w:rPr>
        <w:t>,</w:t>
      </w:r>
      <w:r w:rsidR="008E527E" w:rsidRPr="00CA4F06">
        <w:rPr>
          <w:rFonts w:cs="Arial"/>
          <w:sz w:val="20"/>
          <w:szCs w:val="20"/>
          <w:lang w:eastAsia="en-GB"/>
        </w:rPr>
        <w:t>673</w:t>
      </w:r>
      <w:r w:rsidR="008E527E">
        <w:rPr>
          <w:rFonts w:cs="Arial"/>
          <w:sz w:val="20"/>
          <w:szCs w:val="20"/>
          <w:lang w:eastAsia="en-GB"/>
        </w:rPr>
        <w:t xml:space="preserve"> shares</w:t>
      </w:r>
      <w:r w:rsidR="007537CF">
        <w:rPr>
          <w:rFonts w:cs="Arial"/>
          <w:sz w:val="20"/>
          <w:szCs w:val="20"/>
        </w:rPr>
        <w:t>, which was the total number of shares entitling the holders to attend and vote for or against all resolutions.  There was no share entitling the holder to attend and abstain from</w:t>
      </w:r>
      <w:bookmarkStart w:id="0" w:name="_GoBack"/>
      <w:bookmarkEnd w:id="0"/>
      <w:r w:rsidR="007537CF">
        <w:rPr>
          <w:rFonts w:cs="Arial"/>
          <w:sz w:val="20"/>
          <w:szCs w:val="20"/>
        </w:rPr>
        <w:t xml:space="preserve"> voting in favour of any of the resolutions as set out in rule 13.40 of the Hong Kong Listing Rules</w:t>
      </w:r>
      <w:r w:rsidR="007537CF">
        <w:rPr>
          <w:rFonts w:eastAsia="SimSun" w:cs="Arial"/>
          <w:sz w:val="20"/>
          <w:szCs w:val="20"/>
          <w:lang w:val="en-US" w:eastAsia="zh-CN" w:bidi="th-TH"/>
        </w:rPr>
        <w:t xml:space="preserve">. </w:t>
      </w:r>
      <w:r w:rsidR="007537CF">
        <w:rPr>
          <w:rFonts w:cs="Arial"/>
          <w:sz w:val="20"/>
          <w:szCs w:val="20"/>
        </w:rPr>
        <w:t xml:space="preserve">In accordance with the Company’s Articles of Association, on a poll every member has one vote for every four shares held, therefore the total number of voting </w:t>
      </w:r>
      <w:r w:rsidR="007537CF" w:rsidRPr="00CA4F06">
        <w:rPr>
          <w:rFonts w:cs="Arial"/>
          <w:sz w:val="20"/>
          <w:szCs w:val="20"/>
        </w:rPr>
        <w:t>rights was</w:t>
      </w:r>
      <w:r w:rsidR="00F424A8">
        <w:rPr>
          <w:rFonts w:cs="Arial"/>
          <w:sz w:val="20"/>
          <w:szCs w:val="20"/>
        </w:rPr>
        <w:t xml:space="preserve"> </w:t>
      </w:r>
      <w:r w:rsidR="00F424A8" w:rsidRPr="00CA4F06">
        <w:rPr>
          <w:rFonts w:cs="Arial"/>
          <w:sz w:val="20"/>
          <w:szCs w:val="20"/>
          <w:lang w:eastAsia="en-GB"/>
        </w:rPr>
        <w:t>825,594,918</w:t>
      </w:r>
      <w:r w:rsidR="007537CF" w:rsidRPr="00CA4F06">
        <w:rPr>
          <w:rFonts w:cs="Arial"/>
          <w:sz w:val="20"/>
          <w:szCs w:val="20"/>
        </w:rPr>
        <w:t>. Votes</w:t>
      </w:r>
      <w:r w:rsidR="007537CF">
        <w:rPr>
          <w:rFonts w:cs="Arial"/>
          <w:sz w:val="20"/>
          <w:szCs w:val="20"/>
        </w:rPr>
        <w:t xml:space="preserve"> withheld are not votes in law and have not been counted in the calculation of the proportion of votes ‘for’ or ‘against’ a resolution. Proxy appointments which gave discretion to the Chairman have been included in the 'for' total.</w:t>
      </w:r>
    </w:p>
    <w:p w:rsidR="003C6383" w:rsidRPr="001E3086" w:rsidRDefault="003C6383" w:rsidP="00DE136A">
      <w:pPr>
        <w:jc w:val="both"/>
        <w:rPr>
          <w:rFonts w:cs="Arial"/>
          <w:sz w:val="20"/>
          <w:szCs w:val="20"/>
        </w:rPr>
      </w:pPr>
    </w:p>
    <w:p w:rsidR="003C6383" w:rsidRPr="00BB71B6" w:rsidRDefault="007537CF" w:rsidP="00A96DA6">
      <w:pPr>
        <w:jc w:val="both"/>
        <w:rPr>
          <w:rFonts w:cs="Arial"/>
          <w:sz w:val="20"/>
          <w:szCs w:val="20"/>
        </w:rPr>
      </w:pPr>
      <w:r>
        <w:rPr>
          <w:rFonts w:cs="Arial"/>
          <w:sz w:val="20"/>
          <w:szCs w:val="20"/>
        </w:rPr>
        <w:t>There were no restrictions on any shareholders casting votes on any of the resolutions proposed</w:t>
      </w:r>
      <w:r w:rsidR="00F02F48">
        <w:rPr>
          <w:rFonts w:cs="Arial"/>
          <w:sz w:val="20"/>
          <w:szCs w:val="20"/>
        </w:rPr>
        <w:t xml:space="preserve"> at the AG</w:t>
      </w:r>
      <w:r w:rsidR="00C222AF">
        <w:rPr>
          <w:rFonts w:cs="Arial"/>
          <w:sz w:val="20"/>
          <w:szCs w:val="20"/>
        </w:rPr>
        <w:t>M, save resolution</w:t>
      </w:r>
      <w:r w:rsidR="00F02F48">
        <w:rPr>
          <w:rFonts w:cs="Arial"/>
          <w:sz w:val="20"/>
          <w:szCs w:val="20"/>
        </w:rPr>
        <w:t xml:space="preserve"> 20</w:t>
      </w:r>
      <w:r>
        <w:rPr>
          <w:rFonts w:cs="Arial"/>
          <w:sz w:val="20"/>
          <w:szCs w:val="20"/>
        </w:rPr>
        <w:t>. Executive directors of the Company and their associates were requir</w:t>
      </w:r>
      <w:r w:rsidR="00F02F48">
        <w:rPr>
          <w:rFonts w:cs="Arial"/>
          <w:sz w:val="20"/>
          <w:szCs w:val="20"/>
        </w:rPr>
        <w:t>ed to abstain from resolution 20</w:t>
      </w:r>
      <w:r>
        <w:rPr>
          <w:rFonts w:cs="Arial"/>
          <w:sz w:val="20"/>
          <w:szCs w:val="20"/>
        </w:rPr>
        <w:t xml:space="preserve"> which affected a total of </w:t>
      </w:r>
      <w:r w:rsidR="006D65EE">
        <w:rPr>
          <w:rFonts w:cs="Arial"/>
          <w:sz w:val="20"/>
          <w:szCs w:val="20"/>
        </w:rPr>
        <w:t>324,965</w:t>
      </w:r>
      <w:r>
        <w:rPr>
          <w:rFonts w:cs="Arial"/>
          <w:sz w:val="20"/>
          <w:szCs w:val="20"/>
        </w:rPr>
        <w:t xml:space="preserve"> voting</w:t>
      </w:r>
      <w:r w:rsidR="0072112A" w:rsidRPr="0072112A">
        <w:rPr>
          <w:rFonts w:cs="Arial"/>
          <w:sz w:val="20"/>
          <w:szCs w:val="20"/>
        </w:rPr>
        <w:t xml:space="preserve"> rig</w:t>
      </w:r>
      <w:r w:rsidR="00795C32">
        <w:rPr>
          <w:rFonts w:cs="Arial"/>
          <w:sz w:val="20"/>
          <w:szCs w:val="20"/>
        </w:rPr>
        <w:t>hts.</w:t>
      </w:r>
      <w:r w:rsidR="003E779E">
        <w:rPr>
          <w:rFonts w:cs="Arial"/>
          <w:sz w:val="20"/>
          <w:szCs w:val="20"/>
        </w:rPr>
        <w:t xml:space="preserve"> </w:t>
      </w:r>
      <w:r w:rsidR="0072112A" w:rsidRPr="0072112A">
        <w:rPr>
          <w:rFonts w:cs="Arial"/>
          <w:sz w:val="20"/>
          <w:szCs w:val="20"/>
        </w:rPr>
        <w:t>The scrutineer of the poll was Computershare Investor Services PLC, the Company’s Share Registrar.</w:t>
      </w:r>
    </w:p>
    <w:p w:rsidR="00443131" w:rsidRDefault="00443131">
      <w:pPr>
        <w:jc w:val="both"/>
        <w:rPr>
          <w:rFonts w:cs="Arial"/>
          <w:sz w:val="20"/>
          <w:szCs w:val="20"/>
        </w:rPr>
      </w:pPr>
    </w:p>
    <w:p w:rsidR="003C75B2" w:rsidRPr="003C75B2" w:rsidRDefault="003C6383" w:rsidP="008E527E">
      <w:pPr>
        <w:jc w:val="both"/>
        <w:rPr>
          <w:sz w:val="20"/>
          <w:szCs w:val="20"/>
        </w:rPr>
      </w:pPr>
      <w:r w:rsidRPr="00EC607B">
        <w:rPr>
          <w:rFonts w:cs="Arial"/>
          <w:sz w:val="20"/>
          <w:szCs w:val="20"/>
        </w:rPr>
        <w:t xml:space="preserve">The resolutions put to shareholders at the AGM today </w:t>
      </w:r>
      <w:r w:rsidR="00DC43B7">
        <w:rPr>
          <w:rFonts w:cs="Arial"/>
          <w:sz w:val="20"/>
          <w:szCs w:val="20"/>
        </w:rPr>
        <w:t xml:space="preserve">will </w:t>
      </w:r>
      <w:r w:rsidRPr="00EC607B">
        <w:rPr>
          <w:rFonts w:cs="Arial"/>
          <w:sz w:val="20"/>
          <w:szCs w:val="20"/>
        </w:rPr>
        <w:t>b</w:t>
      </w:r>
      <w:r w:rsidR="00DC43B7">
        <w:rPr>
          <w:rFonts w:cs="Arial"/>
          <w:sz w:val="20"/>
          <w:szCs w:val="20"/>
        </w:rPr>
        <w:t>e</w:t>
      </w:r>
      <w:r w:rsidRPr="00EC607B">
        <w:rPr>
          <w:rFonts w:cs="Arial"/>
          <w:sz w:val="20"/>
          <w:szCs w:val="20"/>
        </w:rPr>
        <w:t xml:space="preserve"> submitted to the UK Listing Authority, </w:t>
      </w:r>
      <w:r w:rsidRPr="00EC607B">
        <w:rPr>
          <w:rStyle w:val="l"/>
          <w:rFonts w:cs="Arial"/>
          <w:sz w:val="20"/>
          <w:szCs w:val="20"/>
        </w:rPr>
        <w:t xml:space="preserve">and will shortly be available for inspection at the UK Listing Authority's </w:t>
      </w:r>
      <w:r w:rsidRPr="00EC607B">
        <w:rPr>
          <w:rFonts w:cs="Arial"/>
          <w:sz w:val="20"/>
          <w:szCs w:val="20"/>
        </w:rPr>
        <w:t xml:space="preserve">National Storage Mechanism, </w:t>
      </w:r>
      <w:r w:rsidRPr="00EC607B">
        <w:rPr>
          <w:rStyle w:val="l"/>
          <w:rFonts w:cs="Arial"/>
          <w:sz w:val="20"/>
          <w:szCs w:val="20"/>
        </w:rPr>
        <w:t>which</w:t>
      </w:r>
      <w:r w:rsidRPr="00EC607B">
        <w:rPr>
          <w:rFonts w:cs="Arial"/>
          <w:sz w:val="20"/>
          <w:szCs w:val="20"/>
        </w:rPr>
        <w:t xml:space="preserve"> can be accessed at </w:t>
      </w:r>
      <w:hyperlink r:id="rId8" w:history="1">
        <w:r w:rsidR="00EC607B" w:rsidRPr="00EC607B">
          <w:rPr>
            <w:rStyle w:val="Hyperlink"/>
            <w:rFonts w:cs="Arial"/>
            <w:sz w:val="20"/>
            <w:szCs w:val="20"/>
            <w:u w:val="single"/>
          </w:rPr>
          <w:t>http://www.morningstar.co.uk/uk/NSM</w:t>
        </w:r>
      </w:hyperlink>
      <w:r w:rsidRPr="00EC607B">
        <w:rPr>
          <w:rStyle w:val="l"/>
          <w:rFonts w:cs="Arial"/>
          <w:sz w:val="20"/>
          <w:szCs w:val="20"/>
        </w:rPr>
        <w:t>.</w:t>
      </w:r>
    </w:p>
    <w:sectPr w:rsidR="003C75B2" w:rsidRPr="003C75B2" w:rsidSect="00E44A42">
      <w:pgSz w:w="11906" w:h="16838"/>
      <w:pgMar w:top="907" w:right="1440" w:bottom="1985" w:left="1440" w:header="45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F48" w:rsidRDefault="00F02F48" w:rsidP="00131DAE">
      <w:pPr>
        <w:pStyle w:val="Header"/>
      </w:pPr>
      <w:r>
        <w:separator/>
      </w:r>
    </w:p>
  </w:endnote>
  <w:endnote w:type="continuationSeparator" w:id="0">
    <w:p w:rsidR="00F02F48" w:rsidRDefault="00F02F48" w:rsidP="00131DAE">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Microsoft JhengHei"/>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F48" w:rsidRDefault="00F02F48" w:rsidP="00131DAE">
      <w:pPr>
        <w:pStyle w:val="Header"/>
      </w:pPr>
      <w:r>
        <w:separator/>
      </w:r>
    </w:p>
  </w:footnote>
  <w:footnote w:type="continuationSeparator" w:id="0">
    <w:p w:rsidR="00F02F48" w:rsidRDefault="00F02F48" w:rsidP="00131DAE">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34F30"/>
    <w:multiLevelType w:val="hybridMultilevel"/>
    <w:tmpl w:val="6EA402F4"/>
    <w:lvl w:ilvl="0" w:tplc="CC4645B2">
      <w:start w:val="1"/>
      <w:numFmt w:val="decimal"/>
      <w:lvlText w:val="%1."/>
      <w:lvlJc w:val="left"/>
      <w:pPr>
        <w:tabs>
          <w:tab w:val="num" w:pos="510"/>
        </w:tabs>
        <w:ind w:left="510" w:hanging="510"/>
      </w:pPr>
      <w:rPr>
        <w:rFonts w:cs="Times New Roman" w:hint="default"/>
      </w:rPr>
    </w:lvl>
    <w:lvl w:ilvl="1" w:tplc="0A4099C2" w:tentative="1">
      <w:start w:val="1"/>
      <w:numFmt w:val="lowerLetter"/>
      <w:lvlText w:val="%2."/>
      <w:lvlJc w:val="left"/>
      <w:pPr>
        <w:tabs>
          <w:tab w:val="num" w:pos="1440"/>
        </w:tabs>
        <w:ind w:left="1440" w:hanging="360"/>
      </w:pPr>
      <w:rPr>
        <w:rFonts w:cs="Times New Roman"/>
      </w:rPr>
    </w:lvl>
    <w:lvl w:ilvl="2" w:tplc="5036BA46" w:tentative="1">
      <w:start w:val="1"/>
      <w:numFmt w:val="lowerRoman"/>
      <w:lvlText w:val="%3."/>
      <w:lvlJc w:val="right"/>
      <w:pPr>
        <w:tabs>
          <w:tab w:val="num" w:pos="2160"/>
        </w:tabs>
        <w:ind w:left="2160" w:hanging="180"/>
      </w:pPr>
      <w:rPr>
        <w:rFonts w:cs="Times New Roman"/>
      </w:rPr>
    </w:lvl>
    <w:lvl w:ilvl="3" w:tplc="925C3ADA" w:tentative="1">
      <w:start w:val="1"/>
      <w:numFmt w:val="decimal"/>
      <w:lvlText w:val="%4."/>
      <w:lvlJc w:val="left"/>
      <w:pPr>
        <w:tabs>
          <w:tab w:val="num" w:pos="2880"/>
        </w:tabs>
        <w:ind w:left="2880" w:hanging="360"/>
      </w:pPr>
      <w:rPr>
        <w:rFonts w:cs="Times New Roman"/>
      </w:rPr>
    </w:lvl>
    <w:lvl w:ilvl="4" w:tplc="31D64672" w:tentative="1">
      <w:start w:val="1"/>
      <w:numFmt w:val="lowerLetter"/>
      <w:lvlText w:val="%5."/>
      <w:lvlJc w:val="left"/>
      <w:pPr>
        <w:tabs>
          <w:tab w:val="num" w:pos="3600"/>
        </w:tabs>
        <w:ind w:left="3600" w:hanging="360"/>
      </w:pPr>
      <w:rPr>
        <w:rFonts w:cs="Times New Roman"/>
      </w:rPr>
    </w:lvl>
    <w:lvl w:ilvl="5" w:tplc="D88ADE50" w:tentative="1">
      <w:start w:val="1"/>
      <w:numFmt w:val="lowerRoman"/>
      <w:lvlText w:val="%6."/>
      <w:lvlJc w:val="right"/>
      <w:pPr>
        <w:tabs>
          <w:tab w:val="num" w:pos="4320"/>
        </w:tabs>
        <w:ind w:left="4320" w:hanging="180"/>
      </w:pPr>
      <w:rPr>
        <w:rFonts w:cs="Times New Roman"/>
      </w:rPr>
    </w:lvl>
    <w:lvl w:ilvl="6" w:tplc="2696C57C" w:tentative="1">
      <w:start w:val="1"/>
      <w:numFmt w:val="decimal"/>
      <w:lvlText w:val="%7."/>
      <w:lvlJc w:val="left"/>
      <w:pPr>
        <w:tabs>
          <w:tab w:val="num" w:pos="5040"/>
        </w:tabs>
        <w:ind w:left="5040" w:hanging="360"/>
      </w:pPr>
      <w:rPr>
        <w:rFonts w:cs="Times New Roman"/>
      </w:rPr>
    </w:lvl>
    <w:lvl w:ilvl="7" w:tplc="C7EADF5C" w:tentative="1">
      <w:start w:val="1"/>
      <w:numFmt w:val="lowerLetter"/>
      <w:lvlText w:val="%8."/>
      <w:lvlJc w:val="left"/>
      <w:pPr>
        <w:tabs>
          <w:tab w:val="num" w:pos="5760"/>
        </w:tabs>
        <w:ind w:left="5760" w:hanging="360"/>
      </w:pPr>
      <w:rPr>
        <w:rFonts w:cs="Times New Roman"/>
      </w:rPr>
    </w:lvl>
    <w:lvl w:ilvl="8" w:tplc="7ED8C7D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noLineBreaksAfter w:lang="zh-TW" w:val="([{£¥‘“‵〈《「『【〔〝︵︷︹︻︽︿﹁﹃﹙﹛﹝（｛"/>
  <w:noLineBreaksBefore w:lang="zh-TW" w:val="!),.:;?]}¢·–—’”•‥…‧′╴、。〉》」』】〕〞︰︱︳︴︶︸︺︼︾﹀﹂﹄﹏﹐﹑﹒﹔﹕﹖﹗﹚﹜﹞！），．：；？］｜｝､"/>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02"/>
    <w:rsid w:val="00012C5C"/>
    <w:rsid w:val="00013074"/>
    <w:rsid w:val="0002364C"/>
    <w:rsid w:val="0003286D"/>
    <w:rsid w:val="0005028B"/>
    <w:rsid w:val="00064EC9"/>
    <w:rsid w:val="0006596F"/>
    <w:rsid w:val="00073488"/>
    <w:rsid w:val="000844CB"/>
    <w:rsid w:val="00094155"/>
    <w:rsid w:val="000C0202"/>
    <w:rsid w:val="000D1B54"/>
    <w:rsid w:val="000D3D17"/>
    <w:rsid w:val="000E23EF"/>
    <w:rsid w:val="000F1F7A"/>
    <w:rsid w:val="00106039"/>
    <w:rsid w:val="0011293F"/>
    <w:rsid w:val="00117778"/>
    <w:rsid w:val="00127ABE"/>
    <w:rsid w:val="00131DAE"/>
    <w:rsid w:val="00133E2B"/>
    <w:rsid w:val="001362C3"/>
    <w:rsid w:val="0014745D"/>
    <w:rsid w:val="001557B7"/>
    <w:rsid w:val="001804DB"/>
    <w:rsid w:val="001962C5"/>
    <w:rsid w:val="001A7581"/>
    <w:rsid w:val="001E0140"/>
    <w:rsid w:val="001E3086"/>
    <w:rsid w:val="001E584B"/>
    <w:rsid w:val="001E64D6"/>
    <w:rsid w:val="001E6A6E"/>
    <w:rsid w:val="00205814"/>
    <w:rsid w:val="0021475B"/>
    <w:rsid w:val="00220E3B"/>
    <w:rsid w:val="00226194"/>
    <w:rsid w:val="00233B46"/>
    <w:rsid w:val="0024413D"/>
    <w:rsid w:val="00250CD5"/>
    <w:rsid w:val="002574A8"/>
    <w:rsid w:val="00260FE1"/>
    <w:rsid w:val="002767FC"/>
    <w:rsid w:val="00276CC3"/>
    <w:rsid w:val="00285BC7"/>
    <w:rsid w:val="002874FB"/>
    <w:rsid w:val="00296083"/>
    <w:rsid w:val="002B0765"/>
    <w:rsid w:val="002E5A59"/>
    <w:rsid w:val="002F2973"/>
    <w:rsid w:val="00305D79"/>
    <w:rsid w:val="003208C1"/>
    <w:rsid w:val="00325EBA"/>
    <w:rsid w:val="00336BE8"/>
    <w:rsid w:val="00362817"/>
    <w:rsid w:val="00362C32"/>
    <w:rsid w:val="00373F29"/>
    <w:rsid w:val="00375DB7"/>
    <w:rsid w:val="003A100D"/>
    <w:rsid w:val="003A383E"/>
    <w:rsid w:val="003B09E9"/>
    <w:rsid w:val="003B0E84"/>
    <w:rsid w:val="003B1725"/>
    <w:rsid w:val="003B4C94"/>
    <w:rsid w:val="003C1148"/>
    <w:rsid w:val="003C2840"/>
    <w:rsid w:val="003C6383"/>
    <w:rsid w:val="003C75B2"/>
    <w:rsid w:val="003D250E"/>
    <w:rsid w:val="003E779E"/>
    <w:rsid w:val="003F4880"/>
    <w:rsid w:val="00425F37"/>
    <w:rsid w:val="0042625D"/>
    <w:rsid w:val="004419B4"/>
    <w:rsid w:val="00443131"/>
    <w:rsid w:val="004441AA"/>
    <w:rsid w:val="00463B8D"/>
    <w:rsid w:val="004675A2"/>
    <w:rsid w:val="004A2A48"/>
    <w:rsid w:val="004B061D"/>
    <w:rsid w:val="004D399B"/>
    <w:rsid w:val="004E3DB2"/>
    <w:rsid w:val="004F2815"/>
    <w:rsid w:val="004F485E"/>
    <w:rsid w:val="0051002F"/>
    <w:rsid w:val="00526E4F"/>
    <w:rsid w:val="005441B2"/>
    <w:rsid w:val="0056105F"/>
    <w:rsid w:val="00571328"/>
    <w:rsid w:val="00572569"/>
    <w:rsid w:val="00577820"/>
    <w:rsid w:val="00577C6C"/>
    <w:rsid w:val="00591B42"/>
    <w:rsid w:val="005A3BE3"/>
    <w:rsid w:val="005A5B77"/>
    <w:rsid w:val="005A5D7C"/>
    <w:rsid w:val="005B4B92"/>
    <w:rsid w:val="005C6D8C"/>
    <w:rsid w:val="005D537A"/>
    <w:rsid w:val="005F6E82"/>
    <w:rsid w:val="00617121"/>
    <w:rsid w:val="00637D53"/>
    <w:rsid w:val="00680875"/>
    <w:rsid w:val="00681180"/>
    <w:rsid w:val="00684F15"/>
    <w:rsid w:val="006B3653"/>
    <w:rsid w:val="006C1C64"/>
    <w:rsid w:val="006D65EE"/>
    <w:rsid w:val="006F5C52"/>
    <w:rsid w:val="00707C6A"/>
    <w:rsid w:val="0072112A"/>
    <w:rsid w:val="00742311"/>
    <w:rsid w:val="007462C0"/>
    <w:rsid w:val="007537CF"/>
    <w:rsid w:val="00754402"/>
    <w:rsid w:val="0076261A"/>
    <w:rsid w:val="00774494"/>
    <w:rsid w:val="00780152"/>
    <w:rsid w:val="00785194"/>
    <w:rsid w:val="00791E0C"/>
    <w:rsid w:val="0079386F"/>
    <w:rsid w:val="00795C32"/>
    <w:rsid w:val="007C183A"/>
    <w:rsid w:val="007C4628"/>
    <w:rsid w:val="007D62A5"/>
    <w:rsid w:val="007E2F56"/>
    <w:rsid w:val="007F62B8"/>
    <w:rsid w:val="007F6B26"/>
    <w:rsid w:val="008175D4"/>
    <w:rsid w:val="0082246F"/>
    <w:rsid w:val="008269E5"/>
    <w:rsid w:val="00826AC5"/>
    <w:rsid w:val="00837854"/>
    <w:rsid w:val="00840F79"/>
    <w:rsid w:val="008430AD"/>
    <w:rsid w:val="00857FDD"/>
    <w:rsid w:val="008643E1"/>
    <w:rsid w:val="00865048"/>
    <w:rsid w:val="00873076"/>
    <w:rsid w:val="00893773"/>
    <w:rsid w:val="008A6157"/>
    <w:rsid w:val="008A6E29"/>
    <w:rsid w:val="008B3862"/>
    <w:rsid w:val="008B5A93"/>
    <w:rsid w:val="008E527E"/>
    <w:rsid w:val="008F3FE2"/>
    <w:rsid w:val="00907D7D"/>
    <w:rsid w:val="009116F0"/>
    <w:rsid w:val="00930F37"/>
    <w:rsid w:val="009405C7"/>
    <w:rsid w:val="009411D3"/>
    <w:rsid w:val="00951A5D"/>
    <w:rsid w:val="00953AA0"/>
    <w:rsid w:val="00963B2A"/>
    <w:rsid w:val="00965518"/>
    <w:rsid w:val="009748C4"/>
    <w:rsid w:val="00984F18"/>
    <w:rsid w:val="009901B7"/>
    <w:rsid w:val="009A025D"/>
    <w:rsid w:val="009A0B06"/>
    <w:rsid w:val="009B0412"/>
    <w:rsid w:val="009B32AC"/>
    <w:rsid w:val="009B4CAE"/>
    <w:rsid w:val="009B5E49"/>
    <w:rsid w:val="009D434C"/>
    <w:rsid w:val="009E342D"/>
    <w:rsid w:val="009F0CB1"/>
    <w:rsid w:val="009F248D"/>
    <w:rsid w:val="00A0175F"/>
    <w:rsid w:val="00A05ACC"/>
    <w:rsid w:val="00A06337"/>
    <w:rsid w:val="00A118C2"/>
    <w:rsid w:val="00A30287"/>
    <w:rsid w:val="00A317C7"/>
    <w:rsid w:val="00A3317A"/>
    <w:rsid w:val="00A343B3"/>
    <w:rsid w:val="00A44234"/>
    <w:rsid w:val="00A541CA"/>
    <w:rsid w:val="00A63C06"/>
    <w:rsid w:val="00A66F85"/>
    <w:rsid w:val="00A76EA9"/>
    <w:rsid w:val="00A83109"/>
    <w:rsid w:val="00A83B10"/>
    <w:rsid w:val="00A96DA6"/>
    <w:rsid w:val="00AA002C"/>
    <w:rsid w:val="00AA16F4"/>
    <w:rsid w:val="00AB3782"/>
    <w:rsid w:val="00AE2111"/>
    <w:rsid w:val="00B13BAD"/>
    <w:rsid w:val="00B1512C"/>
    <w:rsid w:val="00B22FC9"/>
    <w:rsid w:val="00B239F4"/>
    <w:rsid w:val="00B260C2"/>
    <w:rsid w:val="00B268D9"/>
    <w:rsid w:val="00B4305E"/>
    <w:rsid w:val="00B5478E"/>
    <w:rsid w:val="00B67793"/>
    <w:rsid w:val="00B72414"/>
    <w:rsid w:val="00B72A34"/>
    <w:rsid w:val="00B7627B"/>
    <w:rsid w:val="00B86599"/>
    <w:rsid w:val="00B912CD"/>
    <w:rsid w:val="00B93433"/>
    <w:rsid w:val="00B938ED"/>
    <w:rsid w:val="00BB4DA0"/>
    <w:rsid w:val="00BB5E29"/>
    <w:rsid w:val="00BB71B6"/>
    <w:rsid w:val="00BC3D62"/>
    <w:rsid w:val="00BC5BAB"/>
    <w:rsid w:val="00BE0106"/>
    <w:rsid w:val="00BF1ED2"/>
    <w:rsid w:val="00C11262"/>
    <w:rsid w:val="00C2014E"/>
    <w:rsid w:val="00C222AF"/>
    <w:rsid w:val="00C32B2C"/>
    <w:rsid w:val="00C359BF"/>
    <w:rsid w:val="00C661B0"/>
    <w:rsid w:val="00C80E1C"/>
    <w:rsid w:val="00C84EF0"/>
    <w:rsid w:val="00C92B75"/>
    <w:rsid w:val="00CA2A55"/>
    <w:rsid w:val="00CA3791"/>
    <w:rsid w:val="00CA46A8"/>
    <w:rsid w:val="00CA4C63"/>
    <w:rsid w:val="00CA4F06"/>
    <w:rsid w:val="00CB0BAB"/>
    <w:rsid w:val="00CB4390"/>
    <w:rsid w:val="00CB6DF2"/>
    <w:rsid w:val="00CD0D09"/>
    <w:rsid w:val="00CE3C28"/>
    <w:rsid w:val="00CF588F"/>
    <w:rsid w:val="00D11E9B"/>
    <w:rsid w:val="00D15391"/>
    <w:rsid w:val="00D16440"/>
    <w:rsid w:val="00D24ADE"/>
    <w:rsid w:val="00D32700"/>
    <w:rsid w:val="00D3631C"/>
    <w:rsid w:val="00D53F46"/>
    <w:rsid w:val="00D77F5E"/>
    <w:rsid w:val="00D84AF1"/>
    <w:rsid w:val="00DA64F8"/>
    <w:rsid w:val="00DB4807"/>
    <w:rsid w:val="00DB6D43"/>
    <w:rsid w:val="00DC43B7"/>
    <w:rsid w:val="00DE136A"/>
    <w:rsid w:val="00DF0B4D"/>
    <w:rsid w:val="00E03DDF"/>
    <w:rsid w:val="00E10DBD"/>
    <w:rsid w:val="00E44A42"/>
    <w:rsid w:val="00E5748F"/>
    <w:rsid w:val="00E637D7"/>
    <w:rsid w:val="00E7479E"/>
    <w:rsid w:val="00E819B6"/>
    <w:rsid w:val="00E95A7B"/>
    <w:rsid w:val="00EA3F35"/>
    <w:rsid w:val="00EB2629"/>
    <w:rsid w:val="00EB6F1C"/>
    <w:rsid w:val="00EC607B"/>
    <w:rsid w:val="00EC6626"/>
    <w:rsid w:val="00EF2051"/>
    <w:rsid w:val="00EF75F6"/>
    <w:rsid w:val="00EF775C"/>
    <w:rsid w:val="00F02F48"/>
    <w:rsid w:val="00F03554"/>
    <w:rsid w:val="00F0468E"/>
    <w:rsid w:val="00F22140"/>
    <w:rsid w:val="00F22DF1"/>
    <w:rsid w:val="00F24FE4"/>
    <w:rsid w:val="00F375E5"/>
    <w:rsid w:val="00F424A8"/>
    <w:rsid w:val="00F77FC7"/>
    <w:rsid w:val="00F84783"/>
    <w:rsid w:val="00FB64AE"/>
    <w:rsid w:val="00FB776B"/>
    <w:rsid w:val="00FC0FF8"/>
    <w:rsid w:val="00FF6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C933E6"/>
  <w15:docId w15:val="{BBF49479-B9E1-43FD-9AD6-77814DD9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B77"/>
    <w:rPr>
      <w:rFonts w:ascii="Arial" w:hAnsi="Arial"/>
      <w:sz w:val="22"/>
      <w:szCs w:val="24"/>
      <w:lang w:eastAsia="en-US"/>
    </w:rPr>
  </w:style>
  <w:style w:type="paragraph" w:styleId="Heading1">
    <w:name w:val="heading 1"/>
    <w:basedOn w:val="Normal"/>
    <w:next w:val="Normal"/>
    <w:link w:val="Heading1Char"/>
    <w:qFormat/>
    <w:rsid w:val="005A5B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32B2C"/>
    <w:rPr>
      <w:rFonts w:ascii="Cambria" w:eastAsia="PMingLiU" w:hAnsi="Cambria" w:cs="Times New Roman"/>
      <w:b/>
      <w:bCs/>
      <w:kern w:val="32"/>
      <w:sz w:val="32"/>
      <w:szCs w:val="32"/>
      <w:lang w:val="en-GB" w:eastAsia="en-US"/>
    </w:rPr>
  </w:style>
  <w:style w:type="paragraph" w:styleId="Header">
    <w:name w:val="header"/>
    <w:basedOn w:val="Normal"/>
    <w:link w:val="HeaderChar"/>
    <w:rsid w:val="005A5B77"/>
    <w:pPr>
      <w:tabs>
        <w:tab w:val="center" w:pos="4153"/>
        <w:tab w:val="right" w:pos="8306"/>
      </w:tabs>
    </w:pPr>
  </w:style>
  <w:style w:type="character" w:customStyle="1" w:styleId="HeaderChar">
    <w:name w:val="Header Char"/>
    <w:basedOn w:val="DefaultParagraphFont"/>
    <w:link w:val="Header"/>
    <w:semiHidden/>
    <w:locked/>
    <w:rsid w:val="00C32B2C"/>
    <w:rPr>
      <w:rFonts w:ascii="Arial" w:hAnsi="Arial" w:cs="Times New Roman"/>
      <w:sz w:val="24"/>
      <w:szCs w:val="24"/>
      <w:lang w:val="en-GB" w:eastAsia="en-US"/>
    </w:rPr>
  </w:style>
  <w:style w:type="paragraph" w:styleId="Footer">
    <w:name w:val="footer"/>
    <w:basedOn w:val="Normal"/>
    <w:link w:val="FooterChar"/>
    <w:rsid w:val="005A5B77"/>
    <w:pPr>
      <w:tabs>
        <w:tab w:val="center" w:pos="4153"/>
        <w:tab w:val="right" w:pos="8306"/>
      </w:tabs>
    </w:pPr>
  </w:style>
  <w:style w:type="character" w:customStyle="1" w:styleId="FooterChar">
    <w:name w:val="Footer Char"/>
    <w:basedOn w:val="DefaultParagraphFont"/>
    <w:link w:val="Footer"/>
    <w:semiHidden/>
    <w:locked/>
    <w:rsid w:val="00C32B2C"/>
    <w:rPr>
      <w:rFonts w:ascii="Arial" w:hAnsi="Arial" w:cs="Times New Roman"/>
      <w:sz w:val="24"/>
      <w:szCs w:val="24"/>
      <w:lang w:val="en-GB" w:eastAsia="en-US"/>
    </w:rPr>
  </w:style>
  <w:style w:type="paragraph" w:styleId="BalloonText">
    <w:name w:val="Balloon Text"/>
    <w:basedOn w:val="Normal"/>
    <w:link w:val="BalloonTextChar"/>
    <w:semiHidden/>
    <w:rsid w:val="00DE136A"/>
    <w:rPr>
      <w:rFonts w:ascii="Tahoma" w:hAnsi="Tahoma" w:cs="Tahoma"/>
      <w:sz w:val="16"/>
      <w:szCs w:val="16"/>
    </w:rPr>
  </w:style>
  <w:style w:type="character" w:customStyle="1" w:styleId="BalloonTextChar">
    <w:name w:val="Balloon Text Char"/>
    <w:basedOn w:val="DefaultParagraphFont"/>
    <w:link w:val="BalloonText"/>
    <w:semiHidden/>
    <w:locked/>
    <w:rsid w:val="00C32B2C"/>
    <w:rPr>
      <w:rFonts w:cs="Times New Roman"/>
      <w:sz w:val="2"/>
      <w:lang w:val="en-GB" w:eastAsia="en-US"/>
    </w:rPr>
  </w:style>
  <w:style w:type="character" w:styleId="Hyperlink">
    <w:name w:val="Hyperlink"/>
    <w:basedOn w:val="DefaultParagraphFont"/>
    <w:rsid w:val="00BB71B6"/>
    <w:rPr>
      <w:rFonts w:cs="Times New Roman"/>
      <w:color w:val="10497C"/>
      <w:sz w:val="18"/>
      <w:szCs w:val="18"/>
      <w:u w:val="none"/>
      <w:effect w:val="none"/>
    </w:rPr>
  </w:style>
  <w:style w:type="character" w:customStyle="1" w:styleId="l">
    <w:name w:val="l"/>
    <w:basedOn w:val="DefaultParagraphFont"/>
    <w:rsid w:val="00BB71B6"/>
    <w:rPr>
      <w:rFonts w:cs="Times New Roman"/>
    </w:rPr>
  </w:style>
  <w:style w:type="paragraph" w:styleId="DocumentMap">
    <w:name w:val="Document Map"/>
    <w:basedOn w:val="Normal"/>
    <w:link w:val="DocumentMapChar"/>
    <w:semiHidden/>
    <w:rsid w:val="002574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8430AD"/>
    <w:rPr>
      <w:rFonts w:cs="Times New Roman"/>
      <w:kern w:val="0"/>
      <w:sz w:val="2"/>
      <w:lang w:val="en-GB" w:eastAsia="en-US"/>
    </w:rPr>
  </w:style>
  <w:style w:type="character" w:styleId="FollowedHyperlink">
    <w:name w:val="FollowedHyperlink"/>
    <w:basedOn w:val="DefaultParagraphFont"/>
    <w:rsid w:val="00EC607B"/>
    <w:rPr>
      <w:color w:val="800080" w:themeColor="followedHyperlink"/>
      <w:u w:val="single"/>
    </w:rPr>
  </w:style>
  <w:style w:type="paragraph" w:styleId="Revision">
    <w:name w:val="Revision"/>
    <w:hidden/>
    <w:uiPriority w:val="99"/>
    <w:semiHidden/>
    <w:rsid w:val="006F5C5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561606">
      <w:bodyDiv w:val="1"/>
      <w:marLeft w:val="0"/>
      <w:marRight w:val="0"/>
      <w:marTop w:val="0"/>
      <w:marBottom w:val="0"/>
      <w:divBdr>
        <w:top w:val="none" w:sz="0" w:space="0" w:color="auto"/>
        <w:left w:val="none" w:sz="0" w:space="0" w:color="auto"/>
        <w:bottom w:val="none" w:sz="0" w:space="0" w:color="auto"/>
        <w:right w:val="none" w:sz="0" w:space="0" w:color="auto"/>
      </w:divBdr>
    </w:div>
    <w:div w:id="8677356">
      <w:bodyDiv w:val="1"/>
      <w:marLeft w:val="0"/>
      <w:marRight w:val="0"/>
      <w:marTop w:val="0"/>
      <w:marBottom w:val="0"/>
      <w:divBdr>
        <w:top w:val="none" w:sz="0" w:space="0" w:color="auto"/>
        <w:left w:val="none" w:sz="0" w:space="0" w:color="auto"/>
        <w:bottom w:val="none" w:sz="0" w:space="0" w:color="auto"/>
        <w:right w:val="none" w:sz="0" w:space="0" w:color="auto"/>
      </w:divBdr>
    </w:div>
    <w:div w:id="24448851">
      <w:bodyDiv w:val="1"/>
      <w:marLeft w:val="0"/>
      <w:marRight w:val="0"/>
      <w:marTop w:val="0"/>
      <w:marBottom w:val="0"/>
      <w:divBdr>
        <w:top w:val="none" w:sz="0" w:space="0" w:color="auto"/>
        <w:left w:val="none" w:sz="0" w:space="0" w:color="auto"/>
        <w:bottom w:val="none" w:sz="0" w:space="0" w:color="auto"/>
        <w:right w:val="none" w:sz="0" w:space="0" w:color="auto"/>
      </w:divBdr>
    </w:div>
    <w:div w:id="69625179">
      <w:bodyDiv w:val="1"/>
      <w:marLeft w:val="0"/>
      <w:marRight w:val="0"/>
      <w:marTop w:val="0"/>
      <w:marBottom w:val="0"/>
      <w:divBdr>
        <w:top w:val="none" w:sz="0" w:space="0" w:color="auto"/>
        <w:left w:val="none" w:sz="0" w:space="0" w:color="auto"/>
        <w:bottom w:val="none" w:sz="0" w:space="0" w:color="auto"/>
        <w:right w:val="none" w:sz="0" w:space="0" w:color="auto"/>
      </w:divBdr>
    </w:div>
    <w:div w:id="161630950">
      <w:bodyDiv w:val="1"/>
      <w:marLeft w:val="0"/>
      <w:marRight w:val="0"/>
      <w:marTop w:val="0"/>
      <w:marBottom w:val="0"/>
      <w:divBdr>
        <w:top w:val="none" w:sz="0" w:space="0" w:color="auto"/>
        <w:left w:val="none" w:sz="0" w:space="0" w:color="auto"/>
        <w:bottom w:val="none" w:sz="0" w:space="0" w:color="auto"/>
        <w:right w:val="none" w:sz="0" w:space="0" w:color="auto"/>
      </w:divBdr>
    </w:div>
    <w:div w:id="247733351">
      <w:bodyDiv w:val="1"/>
      <w:marLeft w:val="0"/>
      <w:marRight w:val="0"/>
      <w:marTop w:val="0"/>
      <w:marBottom w:val="0"/>
      <w:divBdr>
        <w:top w:val="none" w:sz="0" w:space="0" w:color="auto"/>
        <w:left w:val="none" w:sz="0" w:space="0" w:color="auto"/>
        <w:bottom w:val="none" w:sz="0" w:space="0" w:color="auto"/>
        <w:right w:val="none" w:sz="0" w:space="0" w:color="auto"/>
      </w:divBdr>
    </w:div>
    <w:div w:id="252788298">
      <w:bodyDiv w:val="1"/>
      <w:marLeft w:val="0"/>
      <w:marRight w:val="0"/>
      <w:marTop w:val="0"/>
      <w:marBottom w:val="0"/>
      <w:divBdr>
        <w:top w:val="none" w:sz="0" w:space="0" w:color="auto"/>
        <w:left w:val="none" w:sz="0" w:space="0" w:color="auto"/>
        <w:bottom w:val="none" w:sz="0" w:space="0" w:color="auto"/>
        <w:right w:val="none" w:sz="0" w:space="0" w:color="auto"/>
      </w:divBdr>
    </w:div>
    <w:div w:id="271715566">
      <w:bodyDiv w:val="1"/>
      <w:marLeft w:val="0"/>
      <w:marRight w:val="0"/>
      <w:marTop w:val="0"/>
      <w:marBottom w:val="0"/>
      <w:divBdr>
        <w:top w:val="none" w:sz="0" w:space="0" w:color="auto"/>
        <w:left w:val="none" w:sz="0" w:space="0" w:color="auto"/>
        <w:bottom w:val="none" w:sz="0" w:space="0" w:color="auto"/>
        <w:right w:val="none" w:sz="0" w:space="0" w:color="auto"/>
      </w:divBdr>
    </w:div>
    <w:div w:id="383453242">
      <w:bodyDiv w:val="1"/>
      <w:marLeft w:val="0"/>
      <w:marRight w:val="0"/>
      <w:marTop w:val="0"/>
      <w:marBottom w:val="0"/>
      <w:divBdr>
        <w:top w:val="none" w:sz="0" w:space="0" w:color="auto"/>
        <w:left w:val="none" w:sz="0" w:space="0" w:color="auto"/>
        <w:bottom w:val="none" w:sz="0" w:space="0" w:color="auto"/>
        <w:right w:val="none" w:sz="0" w:space="0" w:color="auto"/>
      </w:divBdr>
    </w:div>
    <w:div w:id="427119021">
      <w:bodyDiv w:val="1"/>
      <w:marLeft w:val="0"/>
      <w:marRight w:val="0"/>
      <w:marTop w:val="0"/>
      <w:marBottom w:val="0"/>
      <w:divBdr>
        <w:top w:val="none" w:sz="0" w:space="0" w:color="auto"/>
        <w:left w:val="none" w:sz="0" w:space="0" w:color="auto"/>
        <w:bottom w:val="none" w:sz="0" w:space="0" w:color="auto"/>
        <w:right w:val="none" w:sz="0" w:space="0" w:color="auto"/>
      </w:divBdr>
    </w:div>
    <w:div w:id="443231174">
      <w:bodyDiv w:val="1"/>
      <w:marLeft w:val="0"/>
      <w:marRight w:val="0"/>
      <w:marTop w:val="0"/>
      <w:marBottom w:val="0"/>
      <w:divBdr>
        <w:top w:val="none" w:sz="0" w:space="0" w:color="auto"/>
        <w:left w:val="none" w:sz="0" w:space="0" w:color="auto"/>
        <w:bottom w:val="none" w:sz="0" w:space="0" w:color="auto"/>
        <w:right w:val="none" w:sz="0" w:space="0" w:color="auto"/>
      </w:divBdr>
    </w:div>
    <w:div w:id="462965301">
      <w:bodyDiv w:val="1"/>
      <w:marLeft w:val="0"/>
      <w:marRight w:val="0"/>
      <w:marTop w:val="0"/>
      <w:marBottom w:val="0"/>
      <w:divBdr>
        <w:top w:val="none" w:sz="0" w:space="0" w:color="auto"/>
        <w:left w:val="none" w:sz="0" w:space="0" w:color="auto"/>
        <w:bottom w:val="none" w:sz="0" w:space="0" w:color="auto"/>
        <w:right w:val="none" w:sz="0" w:space="0" w:color="auto"/>
      </w:divBdr>
    </w:div>
    <w:div w:id="467744812">
      <w:bodyDiv w:val="1"/>
      <w:marLeft w:val="0"/>
      <w:marRight w:val="0"/>
      <w:marTop w:val="0"/>
      <w:marBottom w:val="0"/>
      <w:divBdr>
        <w:top w:val="none" w:sz="0" w:space="0" w:color="auto"/>
        <w:left w:val="none" w:sz="0" w:space="0" w:color="auto"/>
        <w:bottom w:val="none" w:sz="0" w:space="0" w:color="auto"/>
        <w:right w:val="none" w:sz="0" w:space="0" w:color="auto"/>
      </w:divBdr>
    </w:div>
    <w:div w:id="551498632">
      <w:bodyDiv w:val="1"/>
      <w:marLeft w:val="0"/>
      <w:marRight w:val="0"/>
      <w:marTop w:val="0"/>
      <w:marBottom w:val="0"/>
      <w:divBdr>
        <w:top w:val="none" w:sz="0" w:space="0" w:color="auto"/>
        <w:left w:val="none" w:sz="0" w:space="0" w:color="auto"/>
        <w:bottom w:val="none" w:sz="0" w:space="0" w:color="auto"/>
        <w:right w:val="none" w:sz="0" w:space="0" w:color="auto"/>
      </w:divBdr>
    </w:div>
    <w:div w:id="593712040">
      <w:bodyDiv w:val="1"/>
      <w:marLeft w:val="0"/>
      <w:marRight w:val="0"/>
      <w:marTop w:val="0"/>
      <w:marBottom w:val="0"/>
      <w:divBdr>
        <w:top w:val="none" w:sz="0" w:space="0" w:color="auto"/>
        <w:left w:val="none" w:sz="0" w:space="0" w:color="auto"/>
        <w:bottom w:val="none" w:sz="0" w:space="0" w:color="auto"/>
        <w:right w:val="none" w:sz="0" w:space="0" w:color="auto"/>
      </w:divBdr>
    </w:div>
    <w:div w:id="647973322">
      <w:bodyDiv w:val="1"/>
      <w:marLeft w:val="0"/>
      <w:marRight w:val="0"/>
      <w:marTop w:val="0"/>
      <w:marBottom w:val="0"/>
      <w:divBdr>
        <w:top w:val="none" w:sz="0" w:space="0" w:color="auto"/>
        <w:left w:val="none" w:sz="0" w:space="0" w:color="auto"/>
        <w:bottom w:val="none" w:sz="0" w:space="0" w:color="auto"/>
        <w:right w:val="none" w:sz="0" w:space="0" w:color="auto"/>
      </w:divBdr>
    </w:div>
    <w:div w:id="660233831">
      <w:bodyDiv w:val="1"/>
      <w:marLeft w:val="0"/>
      <w:marRight w:val="0"/>
      <w:marTop w:val="0"/>
      <w:marBottom w:val="0"/>
      <w:divBdr>
        <w:top w:val="none" w:sz="0" w:space="0" w:color="auto"/>
        <w:left w:val="none" w:sz="0" w:space="0" w:color="auto"/>
        <w:bottom w:val="none" w:sz="0" w:space="0" w:color="auto"/>
        <w:right w:val="none" w:sz="0" w:space="0" w:color="auto"/>
      </w:divBdr>
    </w:div>
    <w:div w:id="719355609">
      <w:bodyDiv w:val="1"/>
      <w:marLeft w:val="0"/>
      <w:marRight w:val="0"/>
      <w:marTop w:val="0"/>
      <w:marBottom w:val="0"/>
      <w:divBdr>
        <w:top w:val="none" w:sz="0" w:space="0" w:color="auto"/>
        <w:left w:val="none" w:sz="0" w:space="0" w:color="auto"/>
        <w:bottom w:val="none" w:sz="0" w:space="0" w:color="auto"/>
        <w:right w:val="none" w:sz="0" w:space="0" w:color="auto"/>
      </w:divBdr>
    </w:div>
    <w:div w:id="744423719">
      <w:bodyDiv w:val="1"/>
      <w:marLeft w:val="0"/>
      <w:marRight w:val="0"/>
      <w:marTop w:val="0"/>
      <w:marBottom w:val="0"/>
      <w:divBdr>
        <w:top w:val="none" w:sz="0" w:space="0" w:color="auto"/>
        <w:left w:val="none" w:sz="0" w:space="0" w:color="auto"/>
        <w:bottom w:val="none" w:sz="0" w:space="0" w:color="auto"/>
        <w:right w:val="none" w:sz="0" w:space="0" w:color="auto"/>
      </w:divBdr>
    </w:div>
    <w:div w:id="764307435">
      <w:bodyDiv w:val="1"/>
      <w:marLeft w:val="0"/>
      <w:marRight w:val="0"/>
      <w:marTop w:val="0"/>
      <w:marBottom w:val="0"/>
      <w:divBdr>
        <w:top w:val="none" w:sz="0" w:space="0" w:color="auto"/>
        <w:left w:val="none" w:sz="0" w:space="0" w:color="auto"/>
        <w:bottom w:val="none" w:sz="0" w:space="0" w:color="auto"/>
        <w:right w:val="none" w:sz="0" w:space="0" w:color="auto"/>
      </w:divBdr>
    </w:div>
    <w:div w:id="825246412">
      <w:bodyDiv w:val="1"/>
      <w:marLeft w:val="0"/>
      <w:marRight w:val="0"/>
      <w:marTop w:val="0"/>
      <w:marBottom w:val="0"/>
      <w:divBdr>
        <w:top w:val="none" w:sz="0" w:space="0" w:color="auto"/>
        <w:left w:val="none" w:sz="0" w:space="0" w:color="auto"/>
        <w:bottom w:val="none" w:sz="0" w:space="0" w:color="auto"/>
        <w:right w:val="none" w:sz="0" w:space="0" w:color="auto"/>
      </w:divBdr>
    </w:div>
    <w:div w:id="911356149">
      <w:bodyDiv w:val="1"/>
      <w:marLeft w:val="0"/>
      <w:marRight w:val="0"/>
      <w:marTop w:val="0"/>
      <w:marBottom w:val="0"/>
      <w:divBdr>
        <w:top w:val="none" w:sz="0" w:space="0" w:color="auto"/>
        <w:left w:val="none" w:sz="0" w:space="0" w:color="auto"/>
        <w:bottom w:val="none" w:sz="0" w:space="0" w:color="auto"/>
        <w:right w:val="none" w:sz="0" w:space="0" w:color="auto"/>
      </w:divBdr>
    </w:div>
    <w:div w:id="945772381">
      <w:bodyDiv w:val="1"/>
      <w:marLeft w:val="0"/>
      <w:marRight w:val="0"/>
      <w:marTop w:val="0"/>
      <w:marBottom w:val="0"/>
      <w:divBdr>
        <w:top w:val="none" w:sz="0" w:space="0" w:color="auto"/>
        <w:left w:val="none" w:sz="0" w:space="0" w:color="auto"/>
        <w:bottom w:val="none" w:sz="0" w:space="0" w:color="auto"/>
        <w:right w:val="none" w:sz="0" w:space="0" w:color="auto"/>
      </w:divBdr>
    </w:div>
    <w:div w:id="994187171">
      <w:bodyDiv w:val="1"/>
      <w:marLeft w:val="0"/>
      <w:marRight w:val="0"/>
      <w:marTop w:val="0"/>
      <w:marBottom w:val="0"/>
      <w:divBdr>
        <w:top w:val="none" w:sz="0" w:space="0" w:color="auto"/>
        <w:left w:val="none" w:sz="0" w:space="0" w:color="auto"/>
        <w:bottom w:val="none" w:sz="0" w:space="0" w:color="auto"/>
        <w:right w:val="none" w:sz="0" w:space="0" w:color="auto"/>
      </w:divBdr>
    </w:div>
    <w:div w:id="1070157346">
      <w:bodyDiv w:val="1"/>
      <w:marLeft w:val="0"/>
      <w:marRight w:val="0"/>
      <w:marTop w:val="0"/>
      <w:marBottom w:val="0"/>
      <w:divBdr>
        <w:top w:val="none" w:sz="0" w:space="0" w:color="auto"/>
        <w:left w:val="none" w:sz="0" w:space="0" w:color="auto"/>
        <w:bottom w:val="none" w:sz="0" w:space="0" w:color="auto"/>
        <w:right w:val="none" w:sz="0" w:space="0" w:color="auto"/>
      </w:divBdr>
    </w:div>
    <w:div w:id="1106314785">
      <w:bodyDiv w:val="1"/>
      <w:marLeft w:val="0"/>
      <w:marRight w:val="0"/>
      <w:marTop w:val="0"/>
      <w:marBottom w:val="0"/>
      <w:divBdr>
        <w:top w:val="none" w:sz="0" w:space="0" w:color="auto"/>
        <w:left w:val="none" w:sz="0" w:space="0" w:color="auto"/>
        <w:bottom w:val="none" w:sz="0" w:space="0" w:color="auto"/>
        <w:right w:val="none" w:sz="0" w:space="0" w:color="auto"/>
      </w:divBdr>
    </w:div>
    <w:div w:id="1232160325">
      <w:bodyDiv w:val="1"/>
      <w:marLeft w:val="0"/>
      <w:marRight w:val="0"/>
      <w:marTop w:val="0"/>
      <w:marBottom w:val="0"/>
      <w:divBdr>
        <w:top w:val="none" w:sz="0" w:space="0" w:color="auto"/>
        <w:left w:val="none" w:sz="0" w:space="0" w:color="auto"/>
        <w:bottom w:val="none" w:sz="0" w:space="0" w:color="auto"/>
        <w:right w:val="none" w:sz="0" w:space="0" w:color="auto"/>
      </w:divBdr>
    </w:div>
    <w:div w:id="1236671860">
      <w:bodyDiv w:val="1"/>
      <w:marLeft w:val="0"/>
      <w:marRight w:val="0"/>
      <w:marTop w:val="0"/>
      <w:marBottom w:val="0"/>
      <w:divBdr>
        <w:top w:val="none" w:sz="0" w:space="0" w:color="auto"/>
        <w:left w:val="none" w:sz="0" w:space="0" w:color="auto"/>
        <w:bottom w:val="none" w:sz="0" w:space="0" w:color="auto"/>
        <w:right w:val="none" w:sz="0" w:space="0" w:color="auto"/>
      </w:divBdr>
    </w:div>
    <w:div w:id="1470198967">
      <w:bodyDiv w:val="1"/>
      <w:marLeft w:val="0"/>
      <w:marRight w:val="0"/>
      <w:marTop w:val="0"/>
      <w:marBottom w:val="0"/>
      <w:divBdr>
        <w:top w:val="none" w:sz="0" w:space="0" w:color="auto"/>
        <w:left w:val="none" w:sz="0" w:space="0" w:color="auto"/>
        <w:bottom w:val="none" w:sz="0" w:space="0" w:color="auto"/>
        <w:right w:val="none" w:sz="0" w:space="0" w:color="auto"/>
      </w:divBdr>
    </w:div>
    <w:div w:id="1475876054">
      <w:bodyDiv w:val="1"/>
      <w:marLeft w:val="0"/>
      <w:marRight w:val="0"/>
      <w:marTop w:val="0"/>
      <w:marBottom w:val="0"/>
      <w:divBdr>
        <w:top w:val="none" w:sz="0" w:space="0" w:color="auto"/>
        <w:left w:val="none" w:sz="0" w:space="0" w:color="auto"/>
        <w:bottom w:val="none" w:sz="0" w:space="0" w:color="auto"/>
        <w:right w:val="none" w:sz="0" w:space="0" w:color="auto"/>
      </w:divBdr>
    </w:div>
    <w:div w:id="1583559517">
      <w:bodyDiv w:val="1"/>
      <w:marLeft w:val="0"/>
      <w:marRight w:val="0"/>
      <w:marTop w:val="0"/>
      <w:marBottom w:val="0"/>
      <w:divBdr>
        <w:top w:val="none" w:sz="0" w:space="0" w:color="auto"/>
        <w:left w:val="none" w:sz="0" w:space="0" w:color="auto"/>
        <w:bottom w:val="none" w:sz="0" w:space="0" w:color="auto"/>
        <w:right w:val="none" w:sz="0" w:space="0" w:color="auto"/>
      </w:divBdr>
    </w:div>
    <w:div w:id="1598640153">
      <w:bodyDiv w:val="1"/>
      <w:marLeft w:val="0"/>
      <w:marRight w:val="0"/>
      <w:marTop w:val="0"/>
      <w:marBottom w:val="0"/>
      <w:divBdr>
        <w:top w:val="none" w:sz="0" w:space="0" w:color="auto"/>
        <w:left w:val="none" w:sz="0" w:space="0" w:color="auto"/>
        <w:bottom w:val="none" w:sz="0" w:space="0" w:color="auto"/>
        <w:right w:val="none" w:sz="0" w:space="0" w:color="auto"/>
      </w:divBdr>
    </w:div>
    <w:div w:id="1626615488">
      <w:bodyDiv w:val="1"/>
      <w:marLeft w:val="0"/>
      <w:marRight w:val="0"/>
      <w:marTop w:val="0"/>
      <w:marBottom w:val="0"/>
      <w:divBdr>
        <w:top w:val="none" w:sz="0" w:space="0" w:color="auto"/>
        <w:left w:val="none" w:sz="0" w:space="0" w:color="auto"/>
        <w:bottom w:val="none" w:sz="0" w:space="0" w:color="auto"/>
        <w:right w:val="none" w:sz="0" w:space="0" w:color="auto"/>
      </w:divBdr>
    </w:div>
    <w:div w:id="1774125786">
      <w:bodyDiv w:val="1"/>
      <w:marLeft w:val="0"/>
      <w:marRight w:val="0"/>
      <w:marTop w:val="0"/>
      <w:marBottom w:val="0"/>
      <w:divBdr>
        <w:top w:val="none" w:sz="0" w:space="0" w:color="auto"/>
        <w:left w:val="none" w:sz="0" w:space="0" w:color="auto"/>
        <w:bottom w:val="none" w:sz="0" w:space="0" w:color="auto"/>
        <w:right w:val="none" w:sz="0" w:space="0" w:color="auto"/>
      </w:divBdr>
    </w:div>
    <w:div w:id="1790271072">
      <w:bodyDiv w:val="1"/>
      <w:marLeft w:val="0"/>
      <w:marRight w:val="0"/>
      <w:marTop w:val="0"/>
      <w:marBottom w:val="0"/>
      <w:divBdr>
        <w:top w:val="none" w:sz="0" w:space="0" w:color="auto"/>
        <w:left w:val="none" w:sz="0" w:space="0" w:color="auto"/>
        <w:bottom w:val="none" w:sz="0" w:space="0" w:color="auto"/>
        <w:right w:val="none" w:sz="0" w:space="0" w:color="auto"/>
      </w:divBdr>
    </w:div>
    <w:div w:id="1851984651">
      <w:bodyDiv w:val="1"/>
      <w:marLeft w:val="0"/>
      <w:marRight w:val="0"/>
      <w:marTop w:val="0"/>
      <w:marBottom w:val="0"/>
      <w:divBdr>
        <w:top w:val="none" w:sz="0" w:space="0" w:color="auto"/>
        <w:left w:val="none" w:sz="0" w:space="0" w:color="auto"/>
        <w:bottom w:val="none" w:sz="0" w:space="0" w:color="auto"/>
        <w:right w:val="none" w:sz="0" w:space="0" w:color="auto"/>
      </w:divBdr>
    </w:div>
    <w:div w:id="1940140445">
      <w:bodyDiv w:val="1"/>
      <w:marLeft w:val="0"/>
      <w:marRight w:val="0"/>
      <w:marTop w:val="0"/>
      <w:marBottom w:val="0"/>
      <w:divBdr>
        <w:top w:val="none" w:sz="0" w:space="0" w:color="auto"/>
        <w:left w:val="none" w:sz="0" w:space="0" w:color="auto"/>
        <w:bottom w:val="none" w:sz="0" w:space="0" w:color="auto"/>
        <w:right w:val="none" w:sz="0" w:space="0" w:color="auto"/>
      </w:divBdr>
    </w:div>
    <w:div w:id="1961450534">
      <w:bodyDiv w:val="1"/>
      <w:marLeft w:val="0"/>
      <w:marRight w:val="0"/>
      <w:marTop w:val="0"/>
      <w:marBottom w:val="0"/>
      <w:divBdr>
        <w:top w:val="none" w:sz="0" w:space="0" w:color="auto"/>
        <w:left w:val="none" w:sz="0" w:space="0" w:color="auto"/>
        <w:bottom w:val="none" w:sz="0" w:space="0" w:color="auto"/>
        <w:right w:val="none" w:sz="0" w:space="0" w:color="auto"/>
      </w:divBdr>
    </w:div>
    <w:div w:id="1991905711">
      <w:bodyDiv w:val="1"/>
      <w:marLeft w:val="0"/>
      <w:marRight w:val="0"/>
      <w:marTop w:val="0"/>
      <w:marBottom w:val="0"/>
      <w:divBdr>
        <w:top w:val="none" w:sz="0" w:space="0" w:color="auto"/>
        <w:left w:val="none" w:sz="0" w:space="0" w:color="auto"/>
        <w:bottom w:val="none" w:sz="0" w:space="0" w:color="auto"/>
        <w:right w:val="none" w:sz="0" w:space="0" w:color="auto"/>
      </w:divBdr>
    </w:div>
    <w:div w:id="2015378301">
      <w:bodyDiv w:val="1"/>
      <w:marLeft w:val="0"/>
      <w:marRight w:val="0"/>
      <w:marTop w:val="0"/>
      <w:marBottom w:val="0"/>
      <w:divBdr>
        <w:top w:val="none" w:sz="0" w:space="0" w:color="auto"/>
        <w:left w:val="none" w:sz="0" w:space="0" w:color="auto"/>
        <w:bottom w:val="none" w:sz="0" w:space="0" w:color="auto"/>
        <w:right w:val="none" w:sz="0" w:space="0" w:color="auto"/>
      </w:divBdr>
    </w:div>
    <w:div w:id="2040471092">
      <w:bodyDiv w:val="1"/>
      <w:marLeft w:val="0"/>
      <w:marRight w:val="0"/>
      <w:marTop w:val="0"/>
      <w:marBottom w:val="0"/>
      <w:divBdr>
        <w:top w:val="none" w:sz="0" w:space="0" w:color="auto"/>
        <w:left w:val="none" w:sz="0" w:space="0" w:color="auto"/>
        <w:bottom w:val="none" w:sz="0" w:space="0" w:color="auto"/>
        <w:right w:val="none" w:sz="0" w:space="0" w:color="auto"/>
      </w:divBdr>
    </w:div>
    <w:div w:id="2069259658">
      <w:bodyDiv w:val="1"/>
      <w:marLeft w:val="0"/>
      <w:marRight w:val="0"/>
      <w:marTop w:val="0"/>
      <w:marBottom w:val="0"/>
      <w:divBdr>
        <w:top w:val="none" w:sz="0" w:space="0" w:color="auto"/>
        <w:left w:val="none" w:sz="0" w:space="0" w:color="auto"/>
        <w:bottom w:val="none" w:sz="0" w:space="0" w:color="auto"/>
        <w:right w:val="none" w:sz="0" w:space="0" w:color="auto"/>
      </w:divBdr>
    </w:div>
    <w:div w:id="2081977433">
      <w:bodyDiv w:val="1"/>
      <w:marLeft w:val="0"/>
      <w:marRight w:val="0"/>
      <w:marTop w:val="0"/>
      <w:marBottom w:val="0"/>
      <w:divBdr>
        <w:top w:val="none" w:sz="0" w:space="0" w:color="auto"/>
        <w:left w:val="none" w:sz="0" w:space="0" w:color="auto"/>
        <w:bottom w:val="none" w:sz="0" w:space="0" w:color="auto"/>
        <w:right w:val="none" w:sz="0" w:space="0" w:color="auto"/>
      </w:divBdr>
    </w:div>
    <w:div w:id="2086948162">
      <w:bodyDiv w:val="1"/>
      <w:marLeft w:val="0"/>
      <w:marRight w:val="0"/>
      <w:marTop w:val="0"/>
      <w:marBottom w:val="0"/>
      <w:divBdr>
        <w:top w:val="none" w:sz="0" w:space="0" w:color="auto"/>
        <w:left w:val="none" w:sz="0" w:space="0" w:color="auto"/>
        <w:bottom w:val="none" w:sz="0" w:space="0" w:color="auto"/>
        <w:right w:val="none" w:sz="0" w:space="0" w:color="auto"/>
      </w:divBdr>
    </w:div>
    <w:div w:id="2093768859">
      <w:bodyDiv w:val="1"/>
      <w:marLeft w:val="0"/>
      <w:marRight w:val="0"/>
      <w:marTop w:val="0"/>
      <w:marBottom w:val="0"/>
      <w:divBdr>
        <w:top w:val="none" w:sz="0" w:space="0" w:color="auto"/>
        <w:left w:val="none" w:sz="0" w:space="0" w:color="auto"/>
        <w:bottom w:val="none" w:sz="0" w:space="0" w:color="auto"/>
        <w:right w:val="none" w:sz="0" w:space="0" w:color="auto"/>
      </w:divBdr>
    </w:div>
    <w:div w:id="214296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rningstar.co.uk/uk/NS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30CC1-378B-41A9-80A0-343AB09FF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942</Words>
  <Characters>5355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Philpott</dc:creator>
  <cp:lastModifiedBy>Philpott, Louis</cp:lastModifiedBy>
  <cp:revision>5</cp:revision>
  <cp:lastPrinted>2014-05-08T14:01:00Z</cp:lastPrinted>
  <dcterms:created xsi:type="dcterms:W3CDTF">2018-05-09T14:25:00Z</dcterms:created>
  <dcterms:modified xsi:type="dcterms:W3CDTF">2018-05-09T14:27:00Z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DeptCode">
    <vt:lpwstr>CD</vt:lpwstr>
  </property>
  <property fmtid="{D5CDD505-2E9C-101B-9397-08002B2CF9AE}" pid="3" name="udp_CMNumber">
    <vt:lpwstr>106588/13552</vt:lpwstr>
  </property>
  <property fmtid="{D5CDD505-2E9C-101B-9397-08002B2CF9AE}" pid="4" name="udp_DocID">
    <vt:i4>515680856</vt:i4>
  </property>
  <property fmtid="{D5CDD505-2E9C-101B-9397-08002B2CF9AE}" pid="5" name="udp_Author">
    <vt:lpwstr>RFM</vt:lpwstr>
  </property>
  <property fmtid="{D5CDD505-2E9C-101B-9397-08002B2CF9AE}" pid="6" name="udp_Date">
    <vt:lpwstr>2 May 2013</vt:lpwstr>
  </property>
  <property fmtid="{D5CDD505-2E9C-101B-9397-08002B2CF9AE}" pid="7" name="MAIL_MSG_ID1">
    <vt:lpwstr>ABAAVOAfoSrQoyyeaC7VUE/Lvb2bU2wJp2aLEcKEXqZ+yH+ZNXwKAIfd2DnJpvrmAhrr</vt:lpwstr>
  </property>
  <property fmtid="{D5CDD505-2E9C-101B-9397-08002B2CF9AE}" pid="8" name="RESPONSE_SENDER_NAME">
    <vt:lpwstr>gAAAdya76B99d4hLGUR1rQ+8TxTv0GGEPdix</vt:lpwstr>
  </property>
  <property fmtid="{D5CDD505-2E9C-101B-9397-08002B2CF9AE}" pid="9" name="EMAIL_OWNER_ADDRESS">
    <vt:lpwstr>ABAAVOAfoSrQoyzBCAzQmYZ0QjjB62F7EUxxYTVq4U0tnsZl63Af9Msb/4g+aHRRdKlx</vt:lpwstr>
  </property>
</Properties>
</file>